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03A8" w14:textId="48CD49DE" w:rsidR="007878DD" w:rsidRPr="00124465" w:rsidRDefault="00CB3982" w:rsidP="00124465">
      <w:pPr>
        <w:pStyle w:val="Prrafodelista"/>
        <w:tabs>
          <w:tab w:val="center" w:pos="4599"/>
        </w:tabs>
        <w:ind w:left="360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9C431" wp14:editId="6E100497">
                <wp:simplePos x="0" y="0"/>
                <wp:positionH relativeFrom="page">
                  <wp:posOffset>4838700</wp:posOffset>
                </wp:positionH>
                <wp:positionV relativeFrom="paragraph">
                  <wp:posOffset>-1000760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BA74E" w14:textId="77777777" w:rsidR="007878DD" w:rsidRPr="00DD78D1" w:rsidRDefault="007878DD" w:rsidP="007878DD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C431" id="Rectángulo 5" o:spid="_x0000_s1026" style="position:absolute;left:0;text-align:left;margin-left:381pt;margin-top:-78.8pt;width:208.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mjYgIAAB4FAAAOAAAAZHJzL2Uyb0RvYy54bWysVE1v2zAMvQ/YfxB0X51kST+COkXQosOA&#10;og3WDj0rshQbkEWNUmJnv36U7DhBW+wwLAeFEslH6vlR1zdtbdhOoa/A5nx8NuJMWQlFZTc5//ly&#10;/+WSMx+ELYQBq3K+V57fLD5/um7cXE2gBFMoZARi/bxxOS9DcPMs87JUtfBn4JQlpwasRaAtbrIC&#10;RUPotckmo9F51gAWDkEq7+n0rnPyRcLXWsnwpLVXgZmcU28hrZjWdVyzxbWYb1C4spJ9G+IfuqhF&#10;ZanoAHUngmBbrN5B1ZVE8KDDmYQ6A60rqdId6Dbj0ZvbPJfCqXQXIse7gSb//2Dl4+7ZrZBoaJyf&#10;ezLjLVqNdfyn/libyNoPZKk2MEmHk/PpxdWMOJXkm84m06+Xkc3smO3Qh28KahaNnCN9jMSR2D34&#10;0IUeQijvWD9ZYW9UbMHYH0qzqogVU3aShro1yHaCPqqQUtkw7lylKFR3PBvRr+9nyEjdJcCIrCtj&#10;BuweIMruPXbXax8fU1VS1pA8+ltjXfKQkSqDDUNyXVnAjwAM3aqv3MUfSOqoiSyFdt1SSDTXUOxX&#10;yBA6iXsn7yui/UH4sBJImqYvRXManmjRBpqcQ29xVgL+/ug8xpPUyMtZQzOSc/9rK1BxZr5bEuHV&#10;eDqNQ5U209nFhDZ46lmfeuy2vgX6YmN6EZxMZowP5mBqhPqVxnkZq5JLWEm1cy4DHja3oZtdehCk&#10;Wi5TGA2SE+HBPjsZwSPBUVYv7atA12svkGof4TBPYv5Ggl1szLSw3AbQVdLnkdeeehrCpKH+wYhT&#10;frpPUcdnbfEHAAD//wMAUEsDBBQABgAIAAAAIQDZjiiB3wAAAA0BAAAPAAAAZHJzL2Rvd25yZXYu&#10;eG1sTI/BTsMwEETvSPyDtUjcWidFJCXEqVAlLkgc2vIBbrzEofE6ip0m+Xu2Jzju7GjmTbmbXSeu&#10;OITWk4J0nYBAqr1pqVHwdXpfbUGEqMnozhMqWDDArrq/K3Vh/EQHvB5jIziEQqEV2Bj7QspQW3Q6&#10;rH2PxL9vPzgd+RwaaQY9cbjr5CZJMul0S9xgdY97i/XlODou0XhY0nzaXz7t/NFit/zguCj1+DC/&#10;vYKIOMc/M9zwGR0qZjr7kUwQnYI82/CWqGCVPucZiJslzV9YO7O2zZ5AVqX8v6L6BQAA//8DAFBL&#10;AQItABQABgAIAAAAIQC2gziS/gAAAOEBAAATAAAAAAAAAAAAAAAAAAAAAABbQ29udGVudF9UeXBl&#10;c10ueG1sUEsBAi0AFAAGAAgAAAAhADj9If/WAAAAlAEAAAsAAAAAAAAAAAAAAAAALwEAAF9yZWxz&#10;Ly5yZWxzUEsBAi0AFAAGAAgAAAAhAJd0iaNiAgAAHgUAAA4AAAAAAAAAAAAAAAAALgIAAGRycy9l&#10;Mm9Eb2MueG1sUEsBAi0AFAAGAAgAAAAhANmOKIHfAAAADQEAAA8AAAAAAAAAAAAAAAAAvAQAAGRy&#10;cy9kb3ducmV2LnhtbFBLBQYAAAAABAAEAPMAAADIBQAAAAA=&#10;" fillcolor="#4472c4 [3204]" strokecolor="#1f3763 [1604]" strokeweight="1pt">
                <v:textbox>
                  <w:txbxContent>
                    <w:p w14:paraId="02EBA74E" w14:textId="77777777" w:rsidR="007878DD" w:rsidRPr="00DD78D1" w:rsidRDefault="007878DD" w:rsidP="007878DD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sz w:val="26"/>
          <w:szCs w:val="26"/>
          <w:lang w:val="it-IT" w:eastAsia="es-ES"/>
        </w:rPr>
        <w:tab/>
      </w:r>
      <w:r w:rsidR="007878DD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B0AC381" w14:textId="7B8B9213" w:rsidR="007878DD" w:rsidRPr="00124465" w:rsidRDefault="007878DD" w:rsidP="00124465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CB3982">
        <w:rPr>
          <w:rFonts w:ascii="Arial" w:hAnsi="Arial" w:cs="Arial"/>
          <w:b/>
          <w:szCs w:val="26"/>
          <w:lang w:val="it-IT"/>
        </w:rPr>
        <w:t>4</w:t>
      </w: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300"/>
        <w:gridCol w:w="168"/>
        <w:gridCol w:w="1613"/>
        <w:gridCol w:w="1613"/>
        <w:gridCol w:w="193"/>
      </w:tblGrid>
      <w:tr w:rsidR="00CB3982" w:rsidRPr="00CB3982" w14:paraId="38ECA4FA" w14:textId="77777777" w:rsidTr="00CB3982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58636AE" w14:textId="77777777" w:rsidR="00CB3982" w:rsidRPr="00CB3982" w:rsidRDefault="00CB3982" w:rsidP="00CB398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CB3982" w:rsidRPr="00CB3982" w14:paraId="3517511F" w14:textId="77777777" w:rsidTr="00CB3982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D6B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73447292" w14:textId="77777777" w:rsidTr="00C56D97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8FEAE7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752F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8109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1A24DE" w14:textId="05D67CD8" w:rsidR="00C56D97" w:rsidRPr="00CB3982" w:rsidRDefault="00460772" w:rsidP="00C56D97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5A770A">
              <w:rPr>
                <w:rFonts w:ascii="Verdana" w:hAnsi="Verdana" w:cs="Arial"/>
                <w:b/>
                <w:sz w:val="14"/>
                <w:szCs w:val="14"/>
              </w:rPr>
              <w:t>PROYECTO DE VIVIENDA CUALITATIVA EN EL MUNICIPIO DE EL CHORO – FASE (III) 2024 – ORURO</w:t>
            </w:r>
            <w:r w:rsidRPr="00460772">
              <w:rPr>
                <w:rFonts w:ascii="Verdana" w:hAnsi="Verdana" w:cs="Arial"/>
                <w:b/>
                <w:sz w:val="14"/>
                <w:szCs w:val="14"/>
              </w:rPr>
              <w:t xml:space="preserve"> (TERCERA CONVOCATORIA)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51006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DBBAFA9" w14:textId="77777777" w:rsidTr="00A708AB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C3451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C2D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2B3E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3C44AE7A" w14:textId="77777777" w:rsidTr="00C56D97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E8F9A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0368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5504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E5690D" w14:textId="1187D414" w:rsidR="00C56D97" w:rsidRPr="00CB3982" w:rsidRDefault="00460772" w:rsidP="00C56D97">
            <w:pPr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</w:pP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AEV-OR-DC0</w:t>
            </w:r>
            <w:r>
              <w:rPr>
                <w:rFonts w:ascii="Arial" w:hAnsi="Arial" w:cs="Arial"/>
                <w:b/>
                <w:sz w:val="16"/>
                <w:szCs w:val="16"/>
                <w:lang w:val="es-AR"/>
              </w:rPr>
              <w:t>71</w:t>
            </w: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/2024</w:t>
            </w:r>
          </w:p>
        </w:tc>
        <w:tc>
          <w:tcPr>
            <w:tcW w:w="162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BCF19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9201E5A" w14:textId="77777777" w:rsidTr="00A708AB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6413C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562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2778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02AC785" w14:textId="77777777" w:rsidTr="00C56D97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9584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B59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44F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CD5D4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1371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01C5D0D" w14:textId="77777777" w:rsidTr="00A708AB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F736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877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4E47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3F7EF6C9" w14:textId="77777777" w:rsidTr="00C56D97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A96B0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50B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7F4B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035A74" w14:textId="028C24A1" w:rsidR="00C56D97" w:rsidRPr="00CB3982" w:rsidRDefault="00460772" w:rsidP="00C56D9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A770A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Bs. 1.502.755,82 </w:t>
            </w:r>
            <w:r w:rsidRPr="00460772">
              <w:rPr>
                <w:rFonts w:ascii="Arial" w:hAnsi="Arial" w:cs="Arial"/>
                <w:b/>
                <w:sz w:val="16"/>
                <w:szCs w:val="16"/>
              </w:rPr>
              <w:t>(Un</w:t>
            </w:r>
            <w:r w:rsidRPr="005A770A">
              <w:rPr>
                <w:rFonts w:ascii="Arial" w:hAnsi="Arial" w:cs="Arial"/>
                <w:b/>
                <w:sz w:val="16"/>
                <w:szCs w:val="16"/>
              </w:rPr>
              <w:t xml:space="preserve"> Millón Quinientos Dos Mil Setecientos Cincuenta y Cinco 82/</w:t>
            </w:r>
            <w:r w:rsidRPr="0046077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5A770A">
              <w:rPr>
                <w:rFonts w:ascii="Arial" w:hAnsi="Arial" w:cs="Arial"/>
                <w:b/>
                <w:sz w:val="16"/>
                <w:szCs w:val="16"/>
              </w:rPr>
              <w:t>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F7DF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62E1A1A" w14:textId="77777777" w:rsidTr="00A708AB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E4F85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544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6A25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196891C2" w14:textId="77777777" w:rsidTr="00C56D97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C2A03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BBBC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4E0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4EB64D" w14:textId="2207C470" w:rsidR="00C56D97" w:rsidRPr="00CB3982" w:rsidRDefault="00460772" w:rsidP="00C56D97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C567C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0C567C">
              <w:rPr>
                <w:rFonts w:ascii="Arial" w:hAnsi="Arial" w:cs="Arial"/>
                <w:b/>
                <w:sz w:val="16"/>
                <w:szCs w:val="16"/>
              </w:rPr>
              <w:t>150 (ciento cincuenta)</w:t>
            </w:r>
            <w:r w:rsidRPr="000C567C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0C567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0C567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0C567C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49944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234B048" w14:textId="77777777" w:rsidTr="00A708AB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C80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542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44C0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7AA96F4" w14:textId="77777777" w:rsidTr="00C56D97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BA5E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708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9E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8F0BD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6C7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0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F617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84B8530" w14:textId="77777777" w:rsidTr="00C56D97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DD32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4D3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019C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E943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8D3F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06B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7FF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0C0268D" w14:textId="77777777" w:rsidTr="00C56D97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8D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EBF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D55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1B970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4C9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F47E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5E14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82AE092" w14:textId="77777777" w:rsidTr="00A708AB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3CD2F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6C5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172B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5284E79" w14:textId="77777777" w:rsidTr="00C56D97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6384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C8B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E9A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49597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00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486B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094B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5E4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1E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D279C40" w14:textId="77777777" w:rsidTr="00A708AB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748CD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E04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9BF2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01738E" w14:textId="77777777" w:rsidTr="00A708AB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235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222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29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48122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583A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17EBABDE" w14:textId="77777777" w:rsidTr="00A708AB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AC7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078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C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061D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F19C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08BC3753" w14:textId="77777777" w:rsidTr="00A708AB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D24F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06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AC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A5A4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B317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CB3982" w:rsidRPr="00CB3982" w14:paraId="01AE6700" w14:textId="77777777" w:rsidTr="00A708AB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326F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9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602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34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919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40A28EAC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71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66115A1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42B9833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8A0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58E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25D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72E6632" w14:textId="77777777" w:rsidTr="00A708AB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1FD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BDA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15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3FE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676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44A68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EB3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B0B84E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76E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14:paraId="4D7139F2" w14:textId="77777777" w:rsidR="00CB3982" w:rsidRPr="00CB3982" w:rsidRDefault="00CB3982" w:rsidP="00CB3982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CB3982" w:rsidRPr="00CB3982" w14:paraId="3458101F" w14:textId="77777777" w:rsidTr="00465284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BC8E078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CB3982" w:rsidRPr="00CB3982" w14:paraId="4254A18F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F3567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76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DF9C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90748" w:rsidRPr="00CB3982" w14:paraId="608E6D4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6C95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7A32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AB6CC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79FFE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8F1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8C528C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4297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61B7BC28" w14:textId="77777777" w:rsidR="00CB3982" w:rsidRPr="00CB3982" w:rsidRDefault="00CB3982" w:rsidP="00CB3982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BA2305" w14:textId="77777777" w:rsidR="00CB3982" w:rsidRPr="00CB3982" w:rsidRDefault="00CB3982" w:rsidP="00CB3982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E6483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2CC6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85C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F14C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C706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01687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CF1F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D17BF03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7A451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A0F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68544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768C4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EF46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67A8C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C36AF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EB127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05AC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52E0876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7C8CE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644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985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54297D9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50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DB038A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A0CA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14510B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9EAAB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F0853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BA26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A5FAFB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8236B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3939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F76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F857C2B" w14:textId="77777777" w:rsidTr="00465284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F580A06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CB3982" w:rsidRPr="00CB3982" w14:paraId="09583D66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95E5A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58FB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74469" w14:textId="77777777" w:rsidR="00CB3982" w:rsidRPr="00CB3982" w:rsidRDefault="00CB3982" w:rsidP="00124465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5330F50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382FF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4321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2EB7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C37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9B0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CE7E8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87F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31D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DE4ED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44E0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2855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FADE3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DF315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41F0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6721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E4629B" w14:textId="77777777" w:rsidR="00CB3982" w:rsidRPr="00CB3982" w:rsidRDefault="00CB3982" w:rsidP="00CB3982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7A44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54A8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9BD2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9F7A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98E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DC006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925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6BD6A700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2ADFA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3126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632F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D178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B5C1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7FE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7A7C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CC0A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6CEE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D76A0" w14:textId="77777777" w:rsidR="00CB3982" w:rsidRPr="00CB3982" w:rsidRDefault="00CB3982" w:rsidP="00124465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BC9CC2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4381A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D193D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0E3FD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72E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6DE3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8D53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8F0B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130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244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6EC2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D7E8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C3D3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4D683F3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78F2DE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A1C0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2B35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0675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5D2F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0B1B0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D35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CC54C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CBF9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EDC4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540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B03625C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90F26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0D75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616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0623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5E7F3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01F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C3E3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B7BF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F0D6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28A2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3BC50E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515F6E5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E126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6CBF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9C6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E78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00D5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C353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1854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38F0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3A26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A9B7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A1D3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2A78F906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8012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0117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A470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E4117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DE87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4C74A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3E68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4FF4A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9CD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5550D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B7AF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25AE6" w14:textId="77777777" w:rsidTr="00465284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623D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A901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725E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464E2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305D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32D4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C39B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FA55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6850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39F4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104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6DD151B7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  <w:bookmarkStart w:id="1" w:name="_Toc347486252"/>
    </w:p>
    <w:p w14:paraId="1238C3A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p w14:paraId="26B6C65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bookmarkEnd w:id="1"/>
    <w:p w14:paraId="5F39824B" w14:textId="46BE7A4D" w:rsidR="00CB3982" w:rsidRPr="00CB3982" w:rsidRDefault="00CB3982" w:rsidP="00CB3982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14:paraId="40FC00E4" w14:textId="034DB4B6" w:rsidR="00CB3982" w:rsidRPr="00CB3982" w:rsidRDefault="00CB3982" w:rsidP="00CB3982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CB3982" w:rsidRPr="00CB3982" w14:paraId="095B3287" w14:textId="77777777" w:rsidTr="00CB3982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1EBB0FD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CB3982" w:rsidRPr="00CB3982" w14:paraId="73CC43F5" w14:textId="77777777" w:rsidTr="00490748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0AAE17D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3D5992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461454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2ABCC5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CB3982" w:rsidRPr="00CB3982" w14:paraId="259ADF69" w14:textId="77777777" w:rsidTr="0049074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7F9F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DBBEC" w14:textId="11AD82A0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F06F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9DA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ECF7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89EE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4EBF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E600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747A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43F03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22F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A194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8EA4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14B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F3C2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3361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F0E608D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0772" w:rsidRPr="00CB3982" w14:paraId="57BC46A8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797EF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95A18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2EAD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556251" w14:textId="3675D228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96B2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7FC98B" w14:textId="27A99E0B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3E3A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21C87F" w14:textId="51302D30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5A4D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62FF11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FF2FD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9625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F92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06D25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7D05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F0D11A" w14:textId="4EE55FC4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2CC80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0772" w:rsidRPr="00CB3982" w14:paraId="5207E4D9" w14:textId="77777777" w:rsidTr="006011C8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EF740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43C21B" w14:textId="77777777" w:rsidR="00460772" w:rsidRPr="00CB3982" w:rsidRDefault="00460772" w:rsidP="00460772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7A663D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1299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59AB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E1B6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F0B79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155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09F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A0334A0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06CD8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2B2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797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C590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3FE67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38E23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E08A97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8D55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460772" w:rsidRPr="00CB3982" w14:paraId="0F6CB452" w14:textId="77777777" w:rsidTr="006011C8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E3330C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2A2183" w14:textId="77777777" w:rsidR="00460772" w:rsidRPr="00CB3982" w:rsidRDefault="00460772" w:rsidP="00460772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546361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529F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815F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8846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BB7F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485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D56B6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446B2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D0AAC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C501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903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0EB3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D921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B9EF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ED65B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022C5D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460772" w:rsidRPr="00CB3982" w14:paraId="50BC169A" w14:textId="77777777" w:rsidTr="006011C8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E5AA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F94AC1" w14:textId="77777777" w:rsidR="00460772" w:rsidRPr="00CB3982" w:rsidRDefault="00460772" w:rsidP="00460772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5B8E4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2B017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0AB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AF131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3BA4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EB2C1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51F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81E90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D62EA6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867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BA693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22E5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08B0B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173DD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D560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BE4B9E3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460772" w:rsidRPr="00CB3982" w14:paraId="569F77C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BBE351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C7E4D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6550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9779D" w14:textId="67B12831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E9C2D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3188" w14:textId="01AE88B9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F74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E87C9" w14:textId="1C6BF978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C0E0D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A3CF0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941BD" w14:textId="5237D34C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BCA7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3637E" w14:textId="3D0BE7A8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CA2F4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43DBD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13FF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50E64A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0772" w:rsidRPr="00CB3982" w14:paraId="1EFB66A4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C1FCE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10294C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D1A5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A801D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  <w:p w14:paraId="7831B3DF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5CE5BF6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8AAC035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99CBB46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CC93663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E383227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9288494" w14:textId="7CE8F93A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32B7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DCF5C1" w14:textId="51C946D0" w:rsidR="00460772" w:rsidRDefault="006A425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  <w:p w14:paraId="14CC907B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6CF8E57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39446F1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A727340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3BC4714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8FF822A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089BBA4" w14:textId="2F5F6617" w:rsidR="00460772" w:rsidRPr="00CB3982" w:rsidRDefault="006A425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0469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979C46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14:paraId="32530BA9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6F33154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AB842AD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9E2B48C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9354690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BE0C4C6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0DDB4B3" w14:textId="58E9BE30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A3B81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797CB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B3411A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  <w:p w14:paraId="47D54069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B14DE4D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AA107DD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EB78599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18D1009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BACC765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67DC4B9" w14:textId="4E6A21EB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0CB9D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33B5A8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62CCA9BF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098FBAC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7FBD5EA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34A6972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8BC026C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FB5B210" w14:textId="77777777" w:rsidR="0046077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4855A74" w14:textId="787CFEEE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BDED7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0E1F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21A4E4" w14:textId="77777777" w:rsidR="00460772" w:rsidRPr="009A39B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14:paraId="46BF8749" w14:textId="77777777" w:rsidR="00460772" w:rsidRPr="009A39B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Agosto </w:t>
            </w:r>
          </w:p>
          <w:p w14:paraId="3CB5C7CC" w14:textId="77777777" w:rsidR="00460772" w:rsidRPr="009A39B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APERTURA:</w:t>
            </w:r>
          </w:p>
          <w:p w14:paraId="24BEB381" w14:textId="77777777" w:rsidR="00460772" w:rsidRPr="009A39B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Calle Cochabamba No. 151 entre Velasco Galvarro y 6 de Agosto y por medio del siguiente enlace:</w:t>
            </w:r>
          </w:p>
          <w:p w14:paraId="43CD6A7D" w14:textId="42F91FE6" w:rsidR="00460772" w:rsidRPr="00EE247C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  <w:lang w:val="es-BO" w:eastAsia="en-US"/>
              </w:rPr>
            </w:pPr>
            <w:hyperlink r:id="rId7" w:history="1">
              <w:r w:rsidRPr="000C567C">
                <w:rPr>
                  <w:rStyle w:val="Hipervnculo"/>
                  <w:sz w:val="18"/>
                  <w:szCs w:val="18"/>
                  <w:lang w:val="es-BO"/>
                </w:rPr>
                <w:t>https://meet.google.com/bmq-mqgo-vmg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B15AD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0772" w:rsidRPr="00CB3982" w14:paraId="746A3421" w14:textId="77777777" w:rsidTr="006011C8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D5E6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3C1B99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FB5F32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FFE3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88A40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A645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389E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EE8F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46F6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DE03E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49ED5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33D2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F035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4E11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FA8C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9F85D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D21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DE8390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460772" w:rsidRPr="00CB3982" w14:paraId="5EAF428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5EC9E7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47CC2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2F025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BB31" w14:textId="23673D05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3B77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316F3" w14:textId="7A0FC245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4567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72778" w14:textId="1FB919F4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1FEA3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2771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FE9A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370E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2176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3A584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17B7D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4FA4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4B0944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0772" w:rsidRPr="00CB3982" w14:paraId="2726C911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72FAD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0CA709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0DE0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02C9F9" w14:textId="06569D5B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B330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B201D1" w14:textId="68F6D83F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C7A15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E43239" w14:textId="1100C5AF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67903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139FA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EE64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48C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851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B7CA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491744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38F6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AC041F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0772" w:rsidRPr="00CB3982" w14:paraId="3647AFC0" w14:textId="77777777" w:rsidTr="006011C8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C66A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FB91A1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0E895B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846E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7D8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CF2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D32AD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0345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418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8F0BF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CA2154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D41E6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D8B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C6B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D3911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33D6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79EC4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292D5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460772" w:rsidRPr="00CB3982" w14:paraId="33209E8A" w14:textId="77777777" w:rsidTr="0049074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2E1F54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4DDC4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6C729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58C4F" w14:textId="278BD1F4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910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CDF83" w14:textId="0514102E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64E0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5DFBC" w14:textId="17F3985C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4FA9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FEAE7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519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DF9F3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AA3A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66A8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2BEB3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AAF3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FE6A9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460772" w:rsidRPr="00CB3982" w14:paraId="47A4C036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6ED001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2E6EDD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FC61D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185B" w14:textId="721211CF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3426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95F3" w14:textId="14169EE6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357C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5898" w14:textId="56C6C865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276E4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97E11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2E8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146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8ACA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57E8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4E44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657B3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5B0C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0772" w:rsidRPr="00CB3982" w14:paraId="146FF1B1" w14:textId="77777777" w:rsidTr="006011C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EC431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6946D8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CFAB68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F6D94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9477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B80E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134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B5D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B606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33E6B6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ABC874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5E926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E3CE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666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9657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477814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60E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51066A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460772" w:rsidRPr="00CB3982" w14:paraId="79CC196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97DD55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2CB0A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40B36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EE285" w14:textId="39828F2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4E23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7CA12" w14:textId="7402A7C4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0102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93695" w14:textId="65F8809A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FE0B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7CF6F1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A5E6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39F7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A0F45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89EE3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4359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CF5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A74B18C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0772" w:rsidRPr="00CB3982" w14:paraId="20123C46" w14:textId="77777777" w:rsidTr="0049074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F6A70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73B801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1C4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BE76E8" w14:textId="54419B56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6C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79D4F9" w14:textId="01C82F0A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053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91B226" w14:textId="497B1693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C5677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B3DD40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FC886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09D286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E493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AC1B25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A5BE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C51B6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B99191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0772" w:rsidRPr="00CB3982" w14:paraId="069A90AA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9EFFAD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C37D2B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5B510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FE38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7AAA7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8A8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1504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C1E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19B741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09812C1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43D4D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5583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D78A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EB68E0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23461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F623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A37A60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0772" w:rsidRPr="00CB3982" w14:paraId="75562788" w14:textId="77777777" w:rsidTr="006011C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AC90C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3B76B7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462285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A73291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BADE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A7C55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0C2C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872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7308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6E3FF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9940D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9954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1AE7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2953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15F65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5847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80D9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CF4350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460772" w:rsidRPr="00CB3982" w14:paraId="2E2A612B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377396" w14:textId="77777777" w:rsidR="00460772" w:rsidRPr="00CB3982" w:rsidRDefault="00460772" w:rsidP="0046077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9F99D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D7C0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A0D1" w14:textId="1F99D8BB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43105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93E0B" w14:textId="142CB1F4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E12C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FE0A" w14:textId="3117FA78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AEF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06BBD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B73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FBAE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354DD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B8DA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64B0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6C6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00F7AC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0772" w:rsidRPr="00CB3982" w14:paraId="3DF92B38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E86BD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E3CB84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34C0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88E13E" w14:textId="4AF0060D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5D79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DCF45" w14:textId="29259B89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5621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31900E" w14:textId="1DF14CC4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058C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BAA15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8B9E6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9754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A452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CB1E77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C917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5AB6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CE0742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0772" w:rsidRPr="00CB3982" w14:paraId="62E22431" w14:textId="77777777" w:rsidTr="006011C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FBDEA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9AA329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722F98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98899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29E73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77A5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D4E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55B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7AF0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DE3623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CF943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6B27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A467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D3F8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A2BA0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88B50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7560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449A5A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460772" w:rsidRPr="00CB3982" w14:paraId="7062F4C2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602B" w14:textId="77777777" w:rsidR="00460772" w:rsidRPr="00CB3982" w:rsidRDefault="00460772" w:rsidP="0046077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D16DA" w14:textId="77777777" w:rsidR="00460772" w:rsidRPr="00CB3982" w:rsidRDefault="00460772" w:rsidP="0046077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2A31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80A97" w14:textId="14F3CC25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B1D24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9E98F" w14:textId="49904C1D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1F9F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FBC4C" w14:textId="7D253F6C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663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09CF3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00D8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4FBD7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E5FA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8E090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BCC0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0375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519F8E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0772" w:rsidRPr="00CB3982" w14:paraId="206F83BA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49F14" w14:textId="77777777" w:rsidR="00460772" w:rsidRPr="00CB3982" w:rsidRDefault="00460772" w:rsidP="00460772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678BA0" w14:textId="77777777" w:rsidR="00460772" w:rsidRPr="00CB3982" w:rsidRDefault="00460772" w:rsidP="0046077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425E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100D20" w14:textId="0B0334FE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739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63686E" w14:textId="53FE67B9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A387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45651A" w14:textId="1EA9AA0A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48CE8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E80DE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7D4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D8C5F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0875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043237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074D4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CB32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E28E07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0772" w:rsidRPr="00CB3982" w14:paraId="46AAA5D0" w14:textId="77777777" w:rsidTr="0049074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11D4099" w14:textId="77777777" w:rsidR="00460772" w:rsidRPr="00CB3982" w:rsidRDefault="00460772" w:rsidP="0046077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44191C" w14:textId="77777777" w:rsidR="00460772" w:rsidRPr="00CB3982" w:rsidRDefault="00460772" w:rsidP="0046077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3ED75" w14:textId="77777777" w:rsidR="00460772" w:rsidRPr="00CB3982" w:rsidRDefault="00460772" w:rsidP="0046077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399AB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F21A9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F36CF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A85CED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1F373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E5464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6519C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35A782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681E44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5DC9BB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10D92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7C5A6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163D49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39D40A" w14:textId="77777777" w:rsidR="00460772" w:rsidRPr="00CB3982" w:rsidRDefault="00460772" w:rsidP="0046077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885826" w14:textId="77777777" w:rsidR="00460772" w:rsidRPr="00CB3982" w:rsidRDefault="00460772" w:rsidP="0046077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36E5892" w14:textId="77777777" w:rsidR="00CB3982" w:rsidRPr="00CB3982" w:rsidRDefault="00CB3982" w:rsidP="00CB3982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14:paraId="15F16942" w14:textId="5A014098" w:rsidR="007878DD" w:rsidRPr="00465284" w:rsidRDefault="00CB3982" w:rsidP="007878DD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sectPr w:rsidR="007878DD" w:rsidRPr="00465284" w:rsidSect="0046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701" w:bottom="255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722F6" w14:textId="77777777" w:rsidR="00C52EB6" w:rsidRDefault="00C52EB6" w:rsidP="0002168D">
      <w:r>
        <w:separator/>
      </w:r>
    </w:p>
  </w:endnote>
  <w:endnote w:type="continuationSeparator" w:id="0">
    <w:p w14:paraId="19B83060" w14:textId="77777777" w:rsidR="00C52EB6" w:rsidRDefault="00C52EB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62ABB" w14:textId="77777777" w:rsidR="00BB3DC4" w:rsidRDefault="00BB3D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503F" w14:textId="7591E85D" w:rsidR="00320E3B" w:rsidRDefault="00320E3B" w:rsidP="00320E3B">
    <w:pPr>
      <w:pStyle w:val="Piedepgina"/>
      <w:tabs>
        <w:tab w:val="clear" w:pos="4419"/>
        <w:tab w:val="clear" w:pos="8838"/>
        <w:tab w:val="left" w:pos="26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EF3D" w14:textId="77777777" w:rsidR="00BB3DC4" w:rsidRDefault="00BB3D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3B6AE" w14:textId="77777777" w:rsidR="00C52EB6" w:rsidRDefault="00C52EB6" w:rsidP="0002168D">
      <w:r>
        <w:separator/>
      </w:r>
    </w:p>
  </w:footnote>
  <w:footnote w:type="continuationSeparator" w:id="0">
    <w:p w14:paraId="284BBE39" w14:textId="77777777" w:rsidR="00C52EB6" w:rsidRDefault="00C52EB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07A1E" w14:textId="77777777" w:rsidR="00BB3DC4" w:rsidRDefault="00BB3D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6CA2DB7C" w:rsidR="0002168D" w:rsidRDefault="004652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2B4D1532">
          <wp:simplePos x="0" y="0"/>
          <wp:positionH relativeFrom="page">
            <wp:align>right</wp:align>
          </wp:positionH>
          <wp:positionV relativeFrom="paragraph">
            <wp:posOffset>-569595</wp:posOffset>
          </wp:positionV>
          <wp:extent cx="7762875" cy="10467975"/>
          <wp:effectExtent l="0" t="0" r="9525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46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|</w:t>
    </w:r>
    <w:r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9265" w14:textId="77777777" w:rsidR="00BB3DC4" w:rsidRDefault="00BB3D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11541"/>
    <w:rsid w:val="0002168D"/>
    <w:rsid w:val="0005710F"/>
    <w:rsid w:val="00063EB6"/>
    <w:rsid w:val="00082C51"/>
    <w:rsid w:val="00124465"/>
    <w:rsid w:val="00130A1B"/>
    <w:rsid w:val="00133FC2"/>
    <w:rsid w:val="001634E7"/>
    <w:rsid w:val="00164615"/>
    <w:rsid w:val="00193EE9"/>
    <w:rsid w:val="00214CDF"/>
    <w:rsid w:val="002645DF"/>
    <w:rsid w:val="0027680E"/>
    <w:rsid w:val="002F5BAB"/>
    <w:rsid w:val="00320E3B"/>
    <w:rsid w:val="003C14D1"/>
    <w:rsid w:val="003D481C"/>
    <w:rsid w:val="00460772"/>
    <w:rsid w:val="00465284"/>
    <w:rsid w:val="00490748"/>
    <w:rsid w:val="005000B0"/>
    <w:rsid w:val="00525505"/>
    <w:rsid w:val="00572426"/>
    <w:rsid w:val="005A20C0"/>
    <w:rsid w:val="005A5895"/>
    <w:rsid w:val="005B464F"/>
    <w:rsid w:val="005E0247"/>
    <w:rsid w:val="005F67BC"/>
    <w:rsid w:val="0065358D"/>
    <w:rsid w:val="0066171C"/>
    <w:rsid w:val="00682AAD"/>
    <w:rsid w:val="006A4252"/>
    <w:rsid w:val="006C2A56"/>
    <w:rsid w:val="007878DD"/>
    <w:rsid w:val="007B6390"/>
    <w:rsid w:val="007E46DF"/>
    <w:rsid w:val="00862E67"/>
    <w:rsid w:val="00874F94"/>
    <w:rsid w:val="009036B0"/>
    <w:rsid w:val="009B6CC5"/>
    <w:rsid w:val="009D5E46"/>
    <w:rsid w:val="00A145DD"/>
    <w:rsid w:val="00A708AB"/>
    <w:rsid w:val="00B473E5"/>
    <w:rsid w:val="00BB3DC4"/>
    <w:rsid w:val="00BD6D56"/>
    <w:rsid w:val="00C52EB6"/>
    <w:rsid w:val="00C56D97"/>
    <w:rsid w:val="00C66247"/>
    <w:rsid w:val="00C76658"/>
    <w:rsid w:val="00C7715B"/>
    <w:rsid w:val="00C9515C"/>
    <w:rsid w:val="00CB3982"/>
    <w:rsid w:val="00D35BF8"/>
    <w:rsid w:val="00D514C5"/>
    <w:rsid w:val="00D76A6A"/>
    <w:rsid w:val="00DE7828"/>
    <w:rsid w:val="00E3401A"/>
    <w:rsid w:val="00EC5966"/>
    <w:rsid w:val="00EE247C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D48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et.google.com/bmq-mqgo-vm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</TotalTime>
  <Pages>2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3</cp:revision>
  <cp:lastPrinted>2024-12-11T00:01:00Z</cp:lastPrinted>
  <dcterms:created xsi:type="dcterms:W3CDTF">2024-12-23T15:45:00Z</dcterms:created>
  <dcterms:modified xsi:type="dcterms:W3CDTF">2024-12-27T22:50:00Z</dcterms:modified>
</cp:coreProperties>
</file>