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7D72BE5E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PROYECTO DE VIVIENDA CUALITATIVA EN EL MUNICIPIO DE O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RURO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CVIII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336F74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SEGUNDA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6D1BFFC0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AEV-OR-DC08</w:t>
            </w:r>
            <w:r w:rsidR="0066171C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1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1776B09B" w:rsidR="00CB3982" w:rsidRPr="00CB3982" w:rsidRDefault="0066171C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17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2.577.914,70 (Dos millones quinientos setenta y siete mil novecientos catorce 70/100 bolivianos). Que contempla los costos de todos los componentes del Proyecto de: Capacitación, Asistencia Técnica y Seguimiento y Provisión/Dotación de Materiales de Construcción</w:t>
            </w:r>
            <w:r w:rsidR="00CB3982" w:rsidRPr="00CB39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4AB22C19" w:rsidR="00CB3982" w:rsidRPr="00CB3982" w:rsidRDefault="0066171C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D2EAB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D2EA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180 (ciento ochenta)</w:t>
            </w:r>
            <w:r w:rsidRPr="00DD2EA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DD2EAB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DD2EAB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DD2EAB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</w:t>
            </w: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Publicación en la página web de la AEVIVIENDA / Invitación.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68139050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3E6E1D84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42C92866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6B286DA8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5207E4D9" w14:textId="77777777" w:rsidTr="0013050B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336F74" w:rsidRPr="00CB3982" w:rsidRDefault="00336F74" w:rsidP="00336F7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0F6CB452" w14:textId="77777777" w:rsidTr="0013050B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336F74" w:rsidRPr="00CB3982" w:rsidRDefault="00336F74" w:rsidP="00336F7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50BC169A" w14:textId="77777777" w:rsidTr="0013050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336F74" w:rsidRPr="00CB3982" w:rsidRDefault="00336F74" w:rsidP="00336F7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6CC82C5B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6DEFFB42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1A3CC5F1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2EE3021A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510D3069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E8A7C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  <w:p w14:paraId="48B3A558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DAF9D6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AF4A8E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CBEBD2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22C703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396AE5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68C6C4DB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00D964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2FA07D3D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AF15192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D321A8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BF1F24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1AA49C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29CA50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56435081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C10CD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533D7FFC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63B585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379A65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2AB788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CFC800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38AD60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695FFBA3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1EC29B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741C999C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3DE5B2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A1800E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BA813C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FCC712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6DC312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6DE178F4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C051B3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3C0AEEB5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7475D1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D88128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DFB824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A82A66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6F657F" w14:textId="77777777" w:rsidR="00336F74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779575D3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4E9DC6" w14:textId="77777777" w:rsidR="00336F74" w:rsidRPr="009A39B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60076B7A" w14:textId="77777777" w:rsidR="00336F74" w:rsidRPr="009A39B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14:paraId="17B30A27" w14:textId="77777777" w:rsidR="00336F74" w:rsidRPr="009A39B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4A99440C" w14:textId="77777777" w:rsidR="00336F74" w:rsidRPr="009A39B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43CD6A7D" w14:textId="74D45DF1" w:rsidR="00336F74" w:rsidRPr="0066171C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es-BO" w:eastAsia="en-US"/>
              </w:rPr>
            </w:pPr>
            <w:hyperlink r:id="rId7" w:history="1">
              <w:r w:rsidRPr="008027D5">
                <w:rPr>
                  <w:rStyle w:val="Hipervnculo"/>
                  <w:sz w:val="18"/>
                  <w:szCs w:val="18"/>
                  <w:lang w:val="es-BO"/>
                </w:rPr>
                <w:t>https://meet.google.com/wvi-drjh-jgb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746A3421" w14:textId="77777777" w:rsidTr="0013050B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2BF4B474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654687C8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2865CEF3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5E926863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04AA1511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17B967FE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3647AFC0" w14:textId="77777777" w:rsidTr="0013050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60152E53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1E10F3EF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1C9B6869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336F74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7B9688B1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782F9118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1191DC08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146FF1B1" w14:textId="77777777" w:rsidTr="0013050B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21A4C41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2320D4F4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4E0DE262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31155925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60364293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7F2D60A5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75562788" w14:textId="77777777" w:rsidTr="0013050B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336F74" w:rsidRPr="00CB3982" w:rsidRDefault="00336F74" w:rsidP="00336F7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09DB06AD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1D194568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248535EF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409A5A8A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43C21A7E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10C3C032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62E22431" w14:textId="77777777" w:rsidTr="0013050B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336F74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336F74" w:rsidRPr="00CB3982" w:rsidRDefault="00336F74" w:rsidP="00336F7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336F74" w:rsidRPr="00CB3982" w:rsidRDefault="00336F74" w:rsidP="00336F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5F4FB0F5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519135D5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6816B6E5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336F74" w:rsidRPr="00CB3982" w:rsidRDefault="00336F74" w:rsidP="00336F7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336F74" w:rsidRPr="00CB3982" w:rsidRDefault="00336F74" w:rsidP="00336F7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47A25D1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5B9FAE82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68925939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336F74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336F74" w:rsidRPr="00CB3982" w:rsidRDefault="00336F74" w:rsidP="00336F7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336F74" w:rsidRPr="00CB3982" w:rsidRDefault="00336F74" w:rsidP="00336F7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336F74" w:rsidRPr="00CB3982" w:rsidRDefault="00336F74" w:rsidP="00336F7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336F74" w:rsidRPr="00CB3982" w:rsidRDefault="00336F74" w:rsidP="00336F7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336F74" w:rsidRPr="00CB3982" w:rsidRDefault="00336F74" w:rsidP="00336F7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796F" w14:textId="77777777" w:rsidR="0027680E" w:rsidRDefault="0027680E" w:rsidP="0002168D">
      <w:r>
        <w:separator/>
      </w:r>
    </w:p>
  </w:endnote>
  <w:endnote w:type="continuationSeparator" w:id="0">
    <w:p w14:paraId="33493321" w14:textId="77777777" w:rsidR="0027680E" w:rsidRDefault="0027680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249B" w14:textId="77777777" w:rsidR="0027680E" w:rsidRDefault="0027680E" w:rsidP="0002168D">
      <w:r>
        <w:separator/>
      </w:r>
    </w:p>
  </w:footnote>
  <w:footnote w:type="continuationSeparator" w:id="0">
    <w:p w14:paraId="5B1786C3" w14:textId="77777777" w:rsidR="0027680E" w:rsidRDefault="0027680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82C51"/>
    <w:rsid w:val="00124465"/>
    <w:rsid w:val="00130A1B"/>
    <w:rsid w:val="00133FC2"/>
    <w:rsid w:val="00164615"/>
    <w:rsid w:val="00193EE9"/>
    <w:rsid w:val="002645DF"/>
    <w:rsid w:val="0027680E"/>
    <w:rsid w:val="00320E3B"/>
    <w:rsid w:val="00336F74"/>
    <w:rsid w:val="003D481C"/>
    <w:rsid w:val="00465284"/>
    <w:rsid w:val="00490748"/>
    <w:rsid w:val="005000B0"/>
    <w:rsid w:val="00525505"/>
    <w:rsid w:val="00572426"/>
    <w:rsid w:val="005A5895"/>
    <w:rsid w:val="005B464F"/>
    <w:rsid w:val="005E0247"/>
    <w:rsid w:val="005F67BC"/>
    <w:rsid w:val="0066171C"/>
    <w:rsid w:val="00682AAD"/>
    <w:rsid w:val="006C2A56"/>
    <w:rsid w:val="007878DD"/>
    <w:rsid w:val="00874F94"/>
    <w:rsid w:val="009036B0"/>
    <w:rsid w:val="009D5E46"/>
    <w:rsid w:val="00A145DD"/>
    <w:rsid w:val="00B473E5"/>
    <w:rsid w:val="00BB3DC4"/>
    <w:rsid w:val="00BD6D56"/>
    <w:rsid w:val="00C7715B"/>
    <w:rsid w:val="00C9515C"/>
    <w:rsid w:val="00CB3982"/>
    <w:rsid w:val="00D35BF8"/>
    <w:rsid w:val="00D514C5"/>
    <w:rsid w:val="00D76A6A"/>
    <w:rsid w:val="00DE7828"/>
    <w:rsid w:val="00E3401A"/>
    <w:rsid w:val="00EC5966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vi-drjh-jg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73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</cp:lastModifiedBy>
  <cp:revision>13</cp:revision>
  <cp:lastPrinted>2024-12-06T21:28:00Z</cp:lastPrinted>
  <dcterms:created xsi:type="dcterms:W3CDTF">2024-12-06T20:03:00Z</dcterms:created>
  <dcterms:modified xsi:type="dcterms:W3CDTF">2025-01-23T19:01:00Z</dcterms:modified>
</cp:coreProperties>
</file>