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60189BDF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DA67EB">
        <w:rPr>
          <w:b/>
          <w:szCs w:val="26"/>
        </w:rPr>
        <w:t>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DA67EB" w:rsidRPr="002F47BB" w14:paraId="0CAE8E96" w14:textId="77777777" w:rsidTr="00881D38">
        <w:trPr>
          <w:trHeight w:val="152"/>
        </w:trPr>
        <w:tc>
          <w:tcPr>
            <w:tcW w:w="10725" w:type="dxa"/>
            <w:gridSpan w:val="29"/>
          </w:tcPr>
          <w:p w14:paraId="2D3CB312" w14:textId="67A360E4" w:rsidR="00DA67EB" w:rsidRPr="002F47BB" w:rsidRDefault="00DA67EB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0F91B10C" w:rsidR="00C10F0C" w:rsidRPr="00E65F02" w:rsidRDefault="00F81507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F81507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NUEVA AUTOCONSTRUCCION EN EL MUNICIPIO DE IRUPANA -FASE(III)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29468AE3" w:rsidR="00C10F0C" w:rsidRPr="00693C7D" w:rsidRDefault="00F81507" w:rsidP="00AC0D49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F81507">
              <w:rPr>
                <w:sz w:val="16"/>
                <w:szCs w:val="16"/>
                <w:lang w:val="it-IT"/>
              </w:rPr>
              <w:t>AEV-LP-DC 206/2024 (</w:t>
            </w:r>
            <w:r w:rsidR="00DA67EB">
              <w:rPr>
                <w:sz w:val="16"/>
                <w:szCs w:val="16"/>
                <w:lang w:val="it-IT"/>
              </w:rPr>
              <w:t>3R</w:t>
            </w:r>
            <w:r w:rsidR="00AC0D49">
              <w:rPr>
                <w:sz w:val="16"/>
                <w:szCs w:val="16"/>
                <w:lang w:val="it-IT"/>
              </w:rPr>
              <w:t>A</w:t>
            </w:r>
            <w:r w:rsidRPr="00F81507">
              <w:rPr>
                <w:sz w:val="16"/>
                <w:szCs w:val="16"/>
                <w:lang w:val="it-IT"/>
              </w:rPr>
              <w:t>.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22485C4D" w:rsidR="00C10F0C" w:rsidRPr="00C76AF8" w:rsidRDefault="00F81507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F81507">
              <w:rPr>
                <w:rFonts w:cs="Tahoma"/>
                <w:color w:val="FF0000"/>
                <w:sz w:val="16"/>
                <w:szCs w:val="16"/>
              </w:rPr>
              <w:t>Bs. 2.461.786,88 (Dos millones cuatrocientos sesenta y un mil setecientos ochenta y seis 88/100 bolivianos).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6885A886" w:rsidR="00C10F0C" w:rsidRPr="00C76AF8" w:rsidRDefault="00B24B2D" w:rsidP="00C10F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</w:t>
            </w:r>
            <w:r w:rsidR="00F81507">
              <w:rPr>
                <w:sz w:val="14"/>
                <w:szCs w:val="14"/>
              </w:rPr>
              <w:t xml:space="preserve">. EDSON CESAR HOYOS GALVAN 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C10F0C" w:rsidRDefault="00733D22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C10F0C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1FA41857" w:rsidR="00C10F0C" w:rsidRPr="00282F5A" w:rsidRDefault="00F81507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 w:rsidRPr="00F81507">
              <w:rPr>
                <w:rStyle w:val="Hipervnculo"/>
                <w:sz w:val="14"/>
                <w:szCs w:val="16"/>
              </w:rPr>
              <w:t>edson.hoyos@aevivienda.gob.bo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1693F602" w:rsidR="00C10F0C" w:rsidRPr="00D82F30" w:rsidRDefault="00DA67EB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614F37C1" w:rsidR="00C10F0C" w:rsidRPr="00D82F30" w:rsidRDefault="00DA67EB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1AE465BC" w:rsidR="00C10F0C" w:rsidRPr="00D82F30" w:rsidRDefault="00DA67EB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226EDD2E" w:rsidR="00C10F0C" w:rsidRPr="00D82F30" w:rsidRDefault="00DA67EB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20F38939" w:rsidR="00C10F0C" w:rsidRPr="00D82F30" w:rsidRDefault="00DA67EB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7B35956D" w:rsidR="00C10F0C" w:rsidRPr="00D82F30" w:rsidRDefault="00DA67EB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42FAF0E2" w:rsidR="00C10F0C" w:rsidRPr="00D82F30" w:rsidRDefault="00DA67EB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538A05BB" w:rsidR="00C10F0C" w:rsidRPr="00D82F30" w:rsidRDefault="00DA67EB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754BC5F8" w14:textId="30BBAB10" w:rsidR="00F81507" w:rsidRDefault="00DA67EB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rStyle w:val="Hipervnculo"/>
                <w:b/>
                <w:sz w:val="16"/>
                <w:szCs w:val="16"/>
              </w:rPr>
            </w:pPr>
            <w:r w:rsidRPr="00DA67EB">
              <w:rPr>
                <w:rStyle w:val="Hipervnculo"/>
                <w:b/>
                <w:sz w:val="16"/>
                <w:szCs w:val="16"/>
              </w:rPr>
              <w:t>https://meet.google.com/rde-bksh-ymn</w:t>
            </w:r>
          </w:p>
          <w:p w14:paraId="018AA4F7" w14:textId="0EF5585E" w:rsidR="00AC0D49" w:rsidRPr="0026134B" w:rsidRDefault="00AC0D49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45542943" w:rsidR="00C10F0C" w:rsidRPr="00D82F30" w:rsidRDefault="00DA67EB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7F764850" w:rsidR="00C10F0C" w:rsidRPr="00D82F30" w:rsidRDefault="00DA67EB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4632C54C" w:rsidR="00C10F0C" w:rsidRPr="00D82F30" w:rsidRDefault="00DA67EB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1A5003A9" w:rsidR="00C10F0C" w:rsidRPr="00D82F30" w:rsidRDefault="00DA67EB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2D8E7B71" w:rsidR="00C10F0C" w:rsidRPr="00D82F30" w:rsidRDefault="00DA67EB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204223B6" w:rsidR="00C10F0C" w:rsidRPr="00D82F30" w:rsidRDefault="00DA67EB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156A3FFF" w:rsidR="00C10F0C" w:rsidRPr="00D82F30" w:rsidRDefault="00DA67EB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4EBBD1E0" w:rsidR="00C10F0C" w:rsidRPr="00D82F30" w:rsidRDefault="00DA67EB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4C01E056" w:rsidR="00C10F0C" w:rsidRPr="00D82F30" w:rsidRDefault="00DA67EB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4D0A778E" w:rsidR="00C10F0C" w:rsidRPr="00D82F30" w:rsidRDefault="00DA67EB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77392A50" w:rsidR="00C10F0C" w:rsidRPr="00D82F30" w:rsidRDefault="00DA67EB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1E67307C" w:rsidR="00C10F0C" w:rsidRPr="00D82F30" w:rsidRDefault="00AC0D4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08AF256F" w:rsidR="00C10F0C" w:rsidRPr="00D82F30" w:rsidRDefault="00DA67EB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0D1DB76E" w:rsidR="00C10F0C" w:rsidRPr="00D82F30" w:rsidRDefault="00DA67EB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  <w:bookmarkStart w:id="0" w:name="_GoBack"/>
            <w:bookmarkEnd w:id="0"/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79380C1D" w:rsidR="00C10F0C" w:rsidRPr="00D82F30" w:rsidRDefault="00AC0D4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981B8" w14:textId="77777777" w:rsidR="00733D22" w:rsidRDefault="00733D22" w:rsidP="0002168D">
      <w:r>
        <w:separator/>
      </w:r>
    </w:p>
  </w:endnote>
  <w:endnote w:type="continuationSeparator" w:id="0">
    <w:p w14:paraId="1975C60C" w14:textId="77777777" w:rsidR="00733D22" w:rsidRDefault="00733D2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9CC5E" w14:textId="77777777" w:rsidR="00733D22" w:rsidRDefault="00733D22" w:rsidP="0002168D">
      <w:r>
        <w:separator/>
      </w:r>
    </w:p>
  </w:footnote>
  <w:footnote w:type="continuationSeparator" w:id="0">
    <w:p w14:paraId="12BFA08D" w14:textId="77777777" w:rsidR="00733D22" w:rsidRDefault="00733D2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A096B"/>
    <w:rsid w:val="002B28F2"/>
    <w:rsid w:val="002B3B2F"/>
    <w:rsid w:val="002B7913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05C65"/>
    <w:rsid w:val="00417BA5"/>
    <w:rsid w:val="00421E9E"/>
    <w:rsid w:val="00422C74"/>
    <w:rsid w:val="00423D41"/>
    <w:rsid w:val="0043435B"/>
    <w:rsid w:val="00437B22"/>
    <w:rsid w:val="00450049"/>
    <w:rsid w:val="00456AA1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703E50"/>
    <w:rsid w:val="00712645"/>
    <w:rsid w:val="00733D22"/>
    <w:rsid w:val="00734913"/>
    <w:rsid w:val="007475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3F2B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B4BB1"/>
    <w:rsid w:val="00AC0D49"/>
    <w:rsid w:val="00AC52F8"/>
    <w:rsid w:val="00AC5EF5"/>
    <w:rsid w:val="00AD13C6"/>
    <w:rsid w:val="00AE1540"/>
    <w:rsid w:val="00AE2259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10F0C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A3FC3"/>
    <w:rsid w:val="00DA67EB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1507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0DA28-3C22-44EA-9232-F73482CC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27</TotalTime>
  <Pages>1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10</cp:revision>
  <cp:lastPrinted>2025-01-24T09:17:00Z</cp:lastPrinted>
  <dcterms:created xsi:type="dcterms:W3CDTF">2024-11-22T14:12:00Z</dcterms:created>
  <dcterms:modified xsi:type="dcterms:W3CDTF">2025-01-24T09:17:00Z</dcterms:modified>
</cp:coreProperties>
</file>