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15CD0CC" w:rsidR="00A90FC4" w:rsidRPr="00E65F02" w:rsidRDefault="003B17F8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3B17F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ICHOCA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EF7D0E0" w:rsidR="00A90FC4" w:rsidRPr="00693C7D" w:rsidRDefault="003B17F8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3B17F8">
              <w:rPr>
                <w:sz w:val="16"/>
                <w:szCs w:val="16"/>
              </w:rPr>
              <w:t>AEV-LP-DC 134/2024 (3</w:t>
            </w:r>
            <w:bookmarkStart w:id="0" w:name="_GoBack"/>
            <w:bookmarkEnd w:id="0"/>
            <w:r w:rsidRPr="003B17F8">
              <w:rPr>
                <w:sz w:val="16"/>
                <w:szCs w:val="16"/>
              </w:rPr>
              <w:t>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7E793171" w:rsidR="00693C7D" w:rsidRPr="00C76AF8" w:rsidRDefault="003B17F8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B17F8">
              <w:rPr>
                <w:rFonts w:cs="Tahoma"/>
                <w:color w:val="FF0000"/>
                <w:sz w:val="16"/>
                <w:szCs w:val="16"/>
              </w:rPr>
              <w:t>Bs 2.991.240,20 (Dos Millones Novecientos Noventa y Un Mil Doscientos Cuarenta 20/100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A1E55EE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642473">
              <w:rPr>
                <w:sz w:val="14"/>
                <w:szCs w:val="14"/>
              </w:rPr>
              <w:t>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886E6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B1F2323" w:rsidR="00693C7D" w:rsidRPr="00282F5A" w:rsidRDefault="00642473" w:rsidP="008376B2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81DBD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3BCA136" w:rsidR="00693C7D" w:rsidRPr="00D82F30" w:rsidRDefault="0064247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A8B8988" w:rsidR="00693C7D" w:rsidRPr="00D82F30" w:rsidRDefault="00F75D88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B17F8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CFB0647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7736C29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376B2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E02BC58" w:rsidR="00693C7D" w:rsidRPr="0026134B" w:rsidRDefault="003B17F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3B17F8">
              <w:rPr>
                <w:b/>
                <w:bCs/>
                <w:i/>
                <w:sz w:val="16"/>
                <w:szCs w:val="16"/>
              </w:rPr>
              <w:t>https://meet.google.com/nnr-qari-rhi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7F313F4" w:rsidR="00693C7D" w:rsidRPr="00D82F30" w:rsidRDefault="003B17F8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BEFEF92" w:rsidR="00077BAE" w:rsidRPr="00D82F30" w:rsidRDefault="003B17F8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9C4D2C4" w:rsidR="00693C7D" w:rsidRPr="00D82F30" w:rsidRDefault="008376B2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B17F8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14989E7" w:rsidR="00693C7D" w:rsidRPr="00D82F30" w:rsidRDefault="008376B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B17F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DAD659E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376B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647E5F4" w:rsidR="00693C7D" w:rsidRPr="00D82F30" w:rsidRDefault="00F75D88" w:rsidP="003B1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B17F8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837D7" w14:textId="77777777" w:rsidR="00886E6F" w:rsidRDefault="00886E6F" w:rsidP="0002168D">
      <w:r>
        <w:separator/>
      </w:r>
    </w:p>
  </w:endnote>
  <w:endnote w:type="continuationSeparator" w:id="0">
    <w:p w14:paraId="21147DE4" w14:textId="77777777" w:rsidR="00886E6F" w:rsidRDefault="00886E6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C93E" w14:textId="77777777" w:rsidR="00886E6F" w:rsidRDefault="00886E6F" w:rsidP="0002168D">
      <w:r>
        <w:separator/>
      </w:r>
    </w:p>
  </w:footnote>
  <w:footnote w:type="continuationSeparator" w:id="0">
    <w:p w14:paraId="488422D6" w14:textId="77777777" w:rsidR="00886E6F" w:rsidRDefault="00886E6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17F8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2473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376B2"/>
    <w:rsid w:val="00840569"/>
    <w:rsid w:val="0085362B"/>
    <w:rsid w:val="00857FC3"/>
    <w:rsid w:val="0087350A"/>
    <w:rsid w:val="00873F7B"/>
    <w:rsid w:val="008771A1"/>
    <w:rsid w:val="00881009"/>
    <w:rsid w:val="008831CF"/>
    <w:rsid w:val="00886E6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858E5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16110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17F8-81F2-4333-A4FE-96589339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2025-01-31T14:23:00Z</cp:lastPrinted>
  <dcterms:created xsi:type="dcterms:W3CDTF">2025-01-31T18:05:00Z</dcterms:created>
  <dcterms:modified xsi:type="dcterms:W3CDTF">2025-01-31T18:05:00Z</dcterms:modified>
</cp:coreProperties>
</file>