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7B2FB5DD" w:rsidR="00512D7F" w:rsidRPr="007247E5" w:rsidRDefault="0083167F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83167F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LORETO -FASE(XI)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4153F6CF" w:rsidR="00512D7F" w:rsidRPr="0050269B" w:rsidRDefault="0083167F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bookmarkStart w:id="0" w:name="_GoBack"/>
            <w:r w:rsidRPr="0083167F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31/2024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  <w:bookmarkEnd w:id="0"/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7603E503" w:rsidR="00512D7F" w:rsidRPr="007247E5" w:rsidRDefault="0083167F" w:rsidP="0083167F">
            <w:pPr>
              <w:rPr>
                <w:rFonts w:ascii="Verdana" w:hAnsi="Verdana" w:cs="Calibri"/>
                <w:sz w:val="15"/>
                <w:szCs w:val="15"/>
              </w:rPr>
            </w:pPr>
            <w:r w:rsidRPr="0083167F">
              <w:rPr>
                <w:rFonts w:ascii="Verdana" w:hAnsi="Verdana" w:cs="Calibri"/>
                <w:sz w:val="15"/>
                <w:szCs w:val="15"/>
              </w:rPr>
              <w:t xml:space="preserve">Bs.3,451,453.72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Tres millones cuatrocientos </w:t>
            </w:r>
            <w:r>
              <w:rPr>
                <w:rFonts w:ascii="Verdana" w:hAnsi="Verdana" w:cs="Calibri"/>
                <w:sz w:val="15"/>
                <w:szCs w:val="15"/>
              </w:rPr>
              <w:t xml:space="preserve">cincuenta y un mil cuatrocientos cincuenta y tres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72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2AC64B6B" w:rsidR="00512D7F" w:rsidRPr="007247E5" w:rsidRDefault="00596717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596717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Loreto se encuentra en la provincia </w:t>
            </w:r>
            <w:proofErr w:type="spellStart"/>
            <w:r w:rsidRPr="00596717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596717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Trinidad, al este con el municipio de San </w:t>
            </w:r>
            <w:proofErr w:type="spellStart"/>
            <w:r w:rsidRPr="00596717">
              <w:rPr>
                <w:rFonts w:ascii="Arial" w:hAnsi="Arial" w:cs="Arial"/>
                <w:sz w:val="15"/>
                <w:szCs w:val="15"/>
                <w:lang w:val="es-BO"/>
              </w:rPr>
              <w:t>Andres</w:t>
            </w:r>
            <w:proofErr w:type="spellEnd"/>
            <w:r w:rsidRPr="00596717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de San Ignacio y al sur con el departamento de Cochabamba y Santa Cruz.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1B48088A" w:rsidR="00512D7F" w:rsidRPr="007247E5" w:rsidRDefault="0068234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8234F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68234F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68234F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1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1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BC79CE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5E13EA8" w:rsidR="00512D7F" w:rsidRPr="007247E5" w:rsidRDefault="003647AC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7AAD69B6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8234F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2D3E7456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8234F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68234F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3F231DCE" w14:textId="77777777" w:rsidR="00342AA1" w:rsidRPr="00342AA1" w:rsidRDefault="00983938" w:rsidP="00342AA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342AA1" w:rsidRPr="00342AA1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https://meet.google.com/qpn-uvsm-dmp</w:t>
              </w:r>
            </w:hyperlink>
            <w:r w:rsidR="00342AA1" w:rsidRPr="00342AA1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13B3DC7" w14:textId="77777777" w:rsidR="00342AA1" w:rsidRPr="00342AA1" w:rsidRDefault="00342AA1" w:rsidP="00342AA1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9" w:tgtFrame="_blank" w:history="1">
              <w:r w:rsidRPr="00342AA1">
                <w:rPr>
                  <w:rStyle w:val="Hipervnculo"/>
                  <w:rFonts w:ascii="Arial" w:hAnsi="Arial" w:cs="Arial"/>
                  <w:b/>
                  <w:color w:val="005A95"/>
                  <w:sz w:val="16"/>
                  <w:szCs w:val="16"/>
                </w:rPr>
                <w:t>https://youtube.com/live/3fCBORWoqK4?feature=share</w:t>
              </w:r>
            </w:hyperlink>
            <w:r w:rsidRPr="00342AA1">
              <w:rPr>
                <w:rFonts w:ascii="Arial" w:hAnsi="Arial" w:cs="Arial"/>
                <w:b/>
                <w:color w:val="000000"/>
                <w:sz w:val="16"/>
                <w:szCs w:val="16"/>
              </w:rPr>
              <w:t> </w:t>
            </w:r>
          </w:p>
          <w:p w14:paraId="432D0966" w14:textId="02E8406E" w:rsidR="00C77EEF" w:rsidRPr="008F66FB" w:rsidRDefault="00C77EEF" w:rsidP="006E113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47992B08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53ACE23D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6220070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1E2ADFC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C616DAB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474340"/>
    <w:rsid w:val="004E1DEF"/>
    <w:rsid w:val="005000B0"/>
    <w:rsid w:val="0050269B"/>
    <w:rsid w:val="00512D7F"/>
    <w:rsid w:val="00525505"/>
    <w:rsid w:val="00526004"/>
    <w:rsid w:val="00596717"/>
    <w:rsid w:val="005A5895"/>
    <w:rsid w:val="005B464F"/>
    <w:rsid w:val="00632651"/>
    <w:rsid w:val="00637817"/>
    <w:rsid w:val="00650BC2"/>
    <w:rsid w:val="006511AD"/>
    <w:rsid w:val="006803F8"/>
    <w:rsid w:val="0068234F"/>
    <w:rsid w:val="006E113A"/>
    <w:rsid w:val="00706ADF"/>
    <w:rsid w:val="007247E5"/>
    <w:rsid w:val="007878DD"/>
    <w:rsid w:val="00794580"/>
    <w:rsid w:val="0083167F"/>
    <w:rsid w:val="00841AF5"/>
    <w:rsid w:val="00847FC6"/>
    <w:rsid w:val="008F4B78"/>
    <w:rsid w:val="008F66FB"/>
    <w:rsid w:val="008F682E"/>
    <w:rsid w:val="00983938"/>
    <w:rsid w:val="00991C71"/>
    <w:rsid w:val="009A3AD2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pn-uvsm-dm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3fCBORWoqK4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8A430-C19D-4B08-AF7C-4AE2B3DC4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185</TotalTime>
  <Pages>2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103</cp:revision>
  <cp:lastPrinted>2025-01-25T00:56:00Z</cp:lastPrinted>
  <dcterms:created xsi:type="dcterms:W3CDTF">2024-06-27T19:16:00Z</dcterms:created>
  <dcterms:modified xsi:type="dcterms:W3CDTF">2025-01-25T01:09:00Z</dcterms:modified>
</cp:coreProperties>
</file>