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B0347DC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 2024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-2025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292"/>
        <w:gridCol w:w="1790"/>
        <w:gridCol w:w="1510"/>
        <w:gridCol w:w="95"/>
        <w:gridCol w:w="202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95382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0C05ED24" w:rsidR="0020208F" w:rsidRPr="0020208F" w:rsidRDefault="0095382A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PAMPA AULLAGAS 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95382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13E418EB" w:rsidR="0020208F" w:rsidRPr="0020208F" w:rsidRDefault="0095382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9E71B6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</w:t>
            </w:r>
            <w:r w:rsidRPr="00C0224D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QUINTA</w:t>
            </w:r>
            <w:r w:rsidRPr="00C022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CONVOCATORIA – PRIMERA INVITACIÓN </w:t>
            </w:r>
            <w:r w:rsidR="00B73BE6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73B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QUINTA </w:t>
            </w:r>
            <w:r w:rsidRPr="00C0224D">
              <w:rPr>
                <w:rFonts w:ascii="Arial" w:hAnsi="Arial" w:cs="Arial"/>
                <w:b/>
                <w:bCs/>
                <w:sz w:val="16"/>
                <w:szCs w:val="16"/>
              </w:rPr>
              <w:t>PUBLICACIÓN)</w:t>
            </w:r>
          </w:p>
        </w:tc>
        <w:tc>
          <w:tcPr>
            <w:tcW w:w="14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543AD5D8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-2025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5382A" w:rsidRPr="0020208F" w14:paraId="722EE7E7" w14:textId="77777777" w:rsidTr="0095382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6E42569C" w:rsidR="0095382A" w:rsidRPr="0020208F" w:rsidRDefault="0095382A" w:rsidP="009538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314699">
              <w:rPr>
                <w:rFonts w:ascii="Arial" w:hAnsi="Arial" w:cs="Arial"/>
                <w:b/>
                <w:sz w:val="16"/>
                <w:szCs w:val="16"/>
              </w:rPr>
              <w:t xml:space="preserve">Bs. 2.397.442,05 (Dos millones trescientos noventa y siete mil cuatrocientos cuarenta y dos 05/100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5382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95382A" w:rsidRPr="0020208F" w14:paraId="337BCAE0" w14:textId="77777777" w:rsidTr="0095382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0850BC68" w:rsidR="0095382A" w:rsidRPr="0020208F" w:rsidRDefault="0095382A" w:rsidP="009538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14699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726FF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5382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5382A" w:rsidRPr="0020208F" w14:paraId="1CE79225" w14:textId="77777777" w:rsidTr="0095382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95382A" w:rsidRPr="0020208F" w:rsidRDefault="0095382A" w:rsidP="0095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5382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95382A" w:rsidRPr="0020208F" w:rsidRDefault="0095382A" w:rsidP="0095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5382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95382A" w:rsidRPr="0020208F" w:rsidRDefault="0095382A" w:rsidP="0095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5382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95382A" w:rsidRPr="0020208F" w:rsidRDefault="0095382A" w:rsidP="0095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5382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95382A" w:rsidRPr="0020208F" w:rsidRDefault="0095382A" w:rsidP="0095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5382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95382A" w:rsidRPr="0020208F" w:rsidRDefault="0095382A" w:rsidP="0095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5382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5382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5382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5382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95382A" w:rsidRPr="0020208F" w:rsidRDefault="0095382A" w:rsidP="009538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95382A" w:rsidRPr="0020208F" w:rsidRDefault="0095382A" w:rsidP="009538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5382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95382A" w:rsidRPr="0020208F" w:rsidRDefault="0095382A" w:rsidP="0095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95382A" w:rsidRPr="0020208F" w:rsidRDefault="0095382A" w:rsidP="0095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95382A" w:rsidRPr="0020208F" w:rsidRDefault="0095382A" w:rsidP="009538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2"/>
        <w:gridCol w:w="121"/>
        <w:gridCol w:w="121"/>
        <w:gridCol w:w="354"/>
        <w:gridCol w:w="121"/>
        <w:gridCol w:w="378"/>
        <w:gridCol w:w="121"/>
        <w:gridCol w:w="516"/>
        <w:gridCol w:w="125"/>
        <w:gridCol w:w="121"/>
        <w:gridCol w:w="368"/>
        <w:gridCol w:w="151"/>
        <w:gridCol w:w="366"/>
        <w:gridCol w:w="122"/>
        <w:gridCol w:w="122"/>
        <w:gridCol w:w="2791"/>
        <w:gridCol w:w="269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573C234B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7191CF48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EB851EB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5C029648" w:rsidR="0020208F" w:rsidRPr="0020208F" w:rsidRDefault="0095382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73B0DE6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5382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792B05D" w:rsidR="0020208F" w:rsidRPr="0020208F" w:rsidRDefault="0095382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9D708FF" w:rsidR="0020208F" w:rsidRPr="0020208F" w:rsidRDefault="0095382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73A560AD" w:rsidR="0020208F" w:rsidRPr="0095382A" w:rsidRDefault="0095382A" w:rsidP="0095382A">
            <w:pPr>
              <w:spacing w:after="0"/>
              <w:jc w:val="center"/>
            </w:pPr>
            <w:hyperlink r:id="rId8" w:history="1">
              <w:r w:rsidRPr="00CC5574">
                <w:rPr>
                  <w:rStyle w:val="Hipervnculo"/>
                </w:rPr>
                <w:t>https://meet.google.com/sxs-rvqv-yrf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D988A7B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E5A298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6239CFB2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2991702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DF1AFDE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B93880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20E4" w14:textId="77777777" w:rsidR="00F10817" w:rsidRDefault="00F10817">
      <w:pPr>
        <w:spacing w:line="240" w:lineRule="auto"/>
      </w:pPr>
      <w:r>
        <w:separator/>
      </w:r>
    </w:p>
  </w:endnote>
  <w:endnote w:type="continuationSeparator" w:id="0">
    <w:p w14:paraId="0FDD6A61" w14:textId="77777777" w:rsidR="00F10817" w:rsidRDefault="00F10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C3E0F" w14:textId="77777777" w:rsidR="00F10817" w:rsidRDefault="00F10817">
      <w:pPr>
        <w:spacing w:after="0"/>
      </w:pPr>
      <w:r>
        <w:separator/>
      </w:r>
    </w:p>
  </w:footnote>
  <w:footnote w:type="continuationSeparator" w:id="0">
    <w:p w14:paraId="12555779" w14:textId="77777777" w:rsidR="00F10817" w:rsidRDefault="00F108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130F0E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B2CBE"/>
    <w:rsid w:val="005124B0"/>
    <w:rsid w:val="00621ED2"/>
    <w:rsid w:val="00644830"/>
    <w:rsid w:val="007821C1"/>
    <w:rsid w:val="007F4EFB"/>
    <w:rsid w:val="0095382A"/>
    <w:rsid w:val="009C2C19"/>
    <w:rsid w:val="009E71B6"/>
    <w:rsid w:val="00A27F73"/>
    <w:rsid w:val="00A3702E"/>
    <w:rsid w:val="00A66FC1"/>
    <w:rsid w:val="00AB58B2"/>
    <w:rsid w:val="00AC6052"/>
    <w:rsid w:val="00B73BE6"/>
    <w:rsid w:val="00B748C0"/>
    <w:rsid w:val="00CB661F"/>
    <w:rsid w:val="00CF113F"/>
    <w:rsid w:val="00D13214"/>
    <w:rsid w:val="00D40FF6"/>
    <w:rsid w:val="00D67D3B"/>
    <w:rsid w:val="00E423F7"/>
    <w:rsid w:val="00EE0674"/>
    <w:rsid w:val="00F10817"/>
    <w:rsid w:val="00F217AD"/>
    <w:rsid w:val="00F71555"/>
    <w:rsid w:val="00F97894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xs-rvqv-y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2025-04-28T22:24:00Z</cp:lastPrinted>
  <dcterms:created xsi:type="dcterms:W3CDTF">2025-04-28T22:26:00Z</dcterms:created>
  <dcterms:modified xsi:type="dcterms:W3CDTF">2025-04-28T22:26:00Z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