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02A1FE1D" w:rsidR="00512D7F" w:rsidRPr="007247E5" w:rsidRDefault="009D2455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9D2455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BAURES -FASE(XI)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168AF181" w:rsidR="00512D7F" w:rsidRPr="0050269B" w:rsidRDefault="009D2455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9D2455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32/2024 </w:t>
            </w:r>
            <w:r w:rsidR="0025151C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(Segunda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26BEBA1" w:rsidR="00512D7F" w:rsidRPr="007247E5" w:rsidRDefault="00587979" w:rsidP="00587979">
            <w:pPr>
              <w:rPr>
                <w:rFonts w:ascii="Verdana" w:hAnsi="Verdana" w:cs="Calibri"/>
                <w:sz w:val="15"/>
                <w:szCs w:val="15"/>
              </w:rPr>
            </w:pPr>
            <w:r w:rsidRPr="00587979">
              <w:rPr>
                <w:rFonts w:ascii="Verdana" w:hAnsi="Verdana" w:cs="Calibri"/>
                <w:sz w:val="15"/>
                <w:szCs w:val="15"/>
              </w:rPr>
              <w:t xml:space="preserve">Bs.3,430,099.82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Tres millones cuatrocientos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treinta mil noventa y nueve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82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6B6C081" w:rsidR="00512D7F" w:rsidRPr="007247E5" w:rsidRDefault="009D2455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Beni,  limita al norte con el Municipio Magdalena, al este con el país de Brasil  , al oeste con el municipio de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la Provincia Cercado (Municipio San Javier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).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695F91B7" w:rsidR="00512D7F" w:rsidRPr="007247E5" w:rsidRDefault="00D01A2B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01A2B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D01A2B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D01A2B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F57E5A6" w:rsidR="00512D7F" w:rsidRPr="007247E5" w:rsidRDefault="0025151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48B56B4D" w:rsidR="00512D7F" w:rsidRPr="007247E5" w:rsidRDefault="0025151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0D160705" w:rsidR="00512D7F" w:rsidRPr="007247E5" w:rsidRDefault="00A33A17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5833550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425B6DE8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5ED08870" w14:textId="77777777" w:rsidR="00007086" w:rsidRPr="00007086" w:rsidRDefault="00983938" w:rsidP="00007086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007086" w:rsidRPr="00007086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https://meet.google.com/jtn-xsah-bpg</w:t>
              </w:r>
            </w:hyperlink>
            <w:r w:rsidR="00007086" w:rsidRPr="00007086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010F2308" w14:textId="77777777" w:rsidR="00007086" w:rsidRDefault="00007086" w:rsidP="00007086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007086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https://youtube.com/live/IK5etb9qSpA?feature=share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432D0966" w14:textId="6B5FA479" w:rsidR="00C77EEF" w:rsidRPr="008F66FB" w:rsidRDefault="00C77EEF" w:rsidP="0025151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5886846C" w:rsidR="00512D7F" w:rsidRPr="007247E5" w:rsidRDefault="00A33A1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1B98110A" w:rsidR="00512D7F" w:rsidRPr="007247E5" w:rsidRDefault="00A33A17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2D42EFFD" w:rsidR="00512D7F" w:rsidRPr="007247E5" w:rsidRDefault="00A33A1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B0F0A47" w:rsidR="00512D7F" w:rsidRPr="007247E5" w:rsidRDefault="00A33A1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4044FEB3" w:rsidR="00512D7F" w:rsidRPr="007247E5" w:rsidRDefault="00A33A1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48D33ABE" w:rsidR="00512D7F" w:rsidRPr="007247E5" w:rsidRDefault="00A33A1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6B2DAC67" w:rsidR="00512D7F" w:rsidRPr="007247E5" w:rsidRDefault="00AE62FE" w:rsidP="00A33A17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A33A17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6EDF6DD5" w:rsidR="00512D7F" w:rsidRPr="007247E5" w:rsidRDefault="00A33A1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374DFC7B" w:rsidR="00512D7F" w:rsidRPr="007247E5" w:rsidRDefault="00A33A1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11F7C0F3" w:rsidR="00512D7F" w:rsidRPr="007247E5" w:rsidRDefault="00A33A1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5274099B" w:rsidR="0002168D" w:rsidRDefault="009043EE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48A164D6" wp14:editId="23F7EECB">
          <wp:simplePos x="0" y="0"/>
          <wp:positionH relativeFrom="page">
            <wp:align>right</wp:align>
          </wp:positionH>
          <wp:positionV relativeFrom="paragraph">
            <wp:posOffset>-734060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07086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00B2B"/>
    <w:rsid w:val="0020477D"/>
    <w:rsid w:val="0021088E"/>
    <w:rsid w:val="00236FCC"/>
    <w:rsid w:val="0025151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878DD"/>
    <w:rsid w:val="00794580"/>
    <w:rsid w:val="0083167F"/>
    <w:rsid w:val="00841AF5"/>
    <w:rsid w:val="00847FC6"/>
    <w:rsid w:val="00853F26"/>
    <w:rsid w:val="008F4B78"/>
    <w:rsid w:val="008F66FB"/>
    <w:rsid w:val="008F682E"/>
    <w:rsid w:val="009043EE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33A17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tn-xsah-b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IK5etb9qSpA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600D6-B0F0-4E56-9BE2-35F33677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217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113</cp:revision>
  <cp:lastPrinted>2025-01-25T00:56:00Z</cp:lastPrinted>
  <dcterms:created xsi:type="dcterms:W3CDTF">2024-06-27T19:16:00Z</dcterms:created>
  <dcterms:modified xsi:type="dcterms:W3CDTF">2025-02-19T20:18:00Z</dcterms:modified>
</cp:coreProperties>
</file>