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1770C0E1" w:rsidR="00554F80" w:rsidRPr="00F81060" w:rsidRDefault="0033134F" w:rsidP="007F04F7">
            <w:pPr>
              <w:ind w:left="142" w:right="243"/>
              <w:jc w:val="both"/>
              <w:rPr>
                <w:rFonts w:ascii="Verdana" w:hAnsi="Verdana" w:cs="Arial"/>
                <w:b/>
                <w:sz w:val="14"/>
                <w:szCs w:val="14"/>
                <w:lang w:val="es-ES_tradnl" w:eastAsia="en-US"/>
              </w:rPr>
            </w:pPr>
            <w:r w:rsidRPr="0033134F">
              <w:rPr>
                <w:rFonts w:ascii="Verdana" w:hAnsi="Verdana" w:cs="Arial"/>
                <w:b/>
                <w:sz w:val="14"/>
                <w:szCs w:val="14"/>
                <w:lang w:val="es-ES_tradnl" w:eastAsia="en-US"/>
              </w:rPr>
              <w:t>PROYECTO DE VIVIENDA CUALITATIVA EN EL MUNICIPIO DE HUACARAJE -FASE(VIII)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65931C23" w:rsidR="00554F80" w:rsidRPr="00554F80" w:rsidRDefault="00B025A8" w:rsidP="00554F80">
            <w:pPr>
              <w:rPr>
                <w:rFonts w:ascii="Arial" w:hAnsi="Arial" w:cs="Arial"/>
                <w:sz w:val="16"/>
                <w:szCs w:val="16"/>
                <w:lang w:val="es-BO" w:eastAsia="en-US"/>
              </w:rPr>
            </w:pPr>
            <w:r w:rsidRPr="00B025A8">
              <w:rPr>
                <w:rFonts w:ascii="Arial" w:hAnsi="Arial" w:cs="Arial"/>
                <w:sz w:val="16"/>
                <w:szCs w:val="16"/>
                <w:lang w:val="es-BO" w:eastAsia="en-US"/>
              </w:rPr>
              <w:t>AEV-BN-DC-010/2025</w:t>
            </w:r>
            <w:r w:rsidRPr="00B025A8">
              <w:rPr>
                <w:rFonts w:ascii="Arial" w:hAnsi="Arial" w:cs="Arial"/>
                <w:sz w:val="16"/>
                <w:szCs w:val="16"/>
                <w:lang w:val="es-BO" w:eastAsia="en-US"/>
              </w:rPr>
              <w:t xml:space="preserve"> </w:t>
            </w:r>
            <w:r w:rsidR="0033134F" w:rsidRPr="0033134F">
              <w:rPr>
                <w:rFonts w:ascii="Arial" w:hAnsi="Arial" w:cs="Arial"/>
                <w:sz w:val="16"/>
                <w:szCs w:val="16"/>
                <w:lang w:val="es-BO" w:eastAsia="en-US"/>
              </w:rPr>
              <w:t>(PRIMERA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6F1209B1"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CA220D" w:rsidRPr="00CA220D">
              <w:rPr>
                <w:rFonts w:ascii="Arial" w:hAnsi="Arial" w:cs="Arial"/>
                <w:bCs/>
                <w:sz w:val="16"/>
                <w:szCs w:val="16"/>
                <w:lang w:val="es-BO" w:eastAsia="en-US"/>
              </w:rPr>
              <w:t>Bs.3,507,928.73</w:t>
            </w:r>
            <w:r w:rsidR="00CA220D" w:rsidRPr="00CA220D">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CA220D">
              <w:rPr>
                <w:rFonts w:ascii="Arial" w:hAnsi="Arial" w:cs="Arial"/>
                <w:bCs/>
                <w:sz w:val="16"/>
                <w:szCs w:val="16"/>
                <w:lang w:val="es-BO" w:eastAsia="en-US"/>
              </w:rPr>
              <w:t>Tres millones quinientos siete mil novecientos veintiocho</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CA220D">
              <w:rPr>
                <w:rFonts w:ascii="Arial" w:hAnsi="Arial" w:cs="Arial"/>
                <w:bCs/>
                <w:sz w:val="16"/>
                <w:szCs w:val="16"/>
                <w:lang w:val="es-BO" w:eastAsia="en-US"/>
              </w:rPr>
              <w:t>73</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7CC232EA" w:rsidR="00554F80" w:rsidRPr="00554F80" w:rsidRDefault="0033134F" w:rsidP="00FD624A">
            <w:pPr>
              <w:jc w:val="both"/>
              <w:rPr>
                <w:rFonts w:ascii="Arial" w:hAnsi="Arial" w:cs="Arial"/>
                <w:sz w:val="16"/>
                <w:szCs w:val="16"/>
                <w:lang w:val="es-ES_tradnl" w:eastAsia="en-US"/>
              </w:rPr>
            </w:pPr>
            <w:r w:rsidRPr="0033134F">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33134F">
              <w:rPr>
                <w:rFonts w:ascii="Arial" w:hAnsi="Arial" w:cs="Arial"/>
                <w:b/>
                <w:bCs/>
                <w:color w:val="FF0000"/>
                <w:sz w:val="16"/>
                <w:szCs w:val="16"/>
                <w:lang w:val="es-ES_tradnl" w:eastAsia="en-US"/>
              </w:rPr>
              <w:t>180 (Ciento ochenta)</w:t>
            </w:r>
            <w:r w:rsidRPr="0033134F">
              <w:rPr>
                <w:rFonts w:ascii="Arial" w:hAnsi="Arial" w:cs="Arial"/>
                <w:color w:val="FF0000"/>
                <w:sz w:val="16"/>
                <w:szCs w:val="16"/>
                <w:lang w:val="es-ES_tradnl" w:eastAsia="en-US"/>
              </w:rPr>
              <w:t xml:space="preserve"> </w:t>
            </w:r>
            <w:r w:rsidRPr="0033134F">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DAD62BC"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7C670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E6F4B6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67F62DD5" w:rsidR="00554F80" w:rsidRDefault="007C670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787D79ED"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3F5668">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33A20B4A"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3F5668">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686EE94B" w14:textId="77777777" w:rsidR="008908DD" w:rsidRPr="008908DD" w:rsidRDefault="008908DD" w:rsidP="008908DD">
            <w:pPr>
              <w:shd w:val="clear" w:color="auto" w:fill="FFFFFF"/>
              <w:rPr>
                <w:rFonts w:ascii="Arial" w:hAnsi="Arial" w:cs="Arial"/>
                <w:b/>
                <w:bCs/>
                <w:color w:val="000000"/>
                <w:sz w:val="16"/>
                <w:szCs w:val="16"/>
                <w:lang w:val="es-BO" w:eastAsia="es-BO"/>
              </w:rPr>
            </w:pPr>
            <w:hyperlink r:id="rId7" w:tgtFrame="_blank" w:history="1">
              <w:r w:rsidRPr="008908DD">
                <w:rPr>
                  <w:rStyle w:val="Hipervnculo"/>
                  <w:rFonts w:ascii="Arial" w:hAnsi="Arial" w:cs="Arial"/>
                  <w:b/>
                  <w:bCs/>
                  <w:color w:val="005A95"/>
                  <w:sz w:val="16"/>
                  <w:szCs w:val="16"/>
                </w:rPr>
                <w:t>https://meet.google.com/ebw-uxcr-ajo</w:t>
              </w:r>
            </w:hyperlink>
            <w:r w:rsidRPr="008908DD">
              <w:rPr>
                <w:rFonts w:ascii="Arial" w:hAnsi="Arial" w:cs="Arial"/>
                <w:b/>
                <w:bCs/>
                <w:color w:val="000000"/>
                <w:sz w:val="16"/>
                <w:szCs w:val="16"/>
              </w:rPr>
              <w:t> </w:t>
            </w:r>
          </w:p>
          <w:p w14:paraId="20BD8C2B" w14:textId="3AF393D0" w:rsidR="00554F80" w:rsidRPr="001E026F" w:rsidRDefault="008908DD" w:rsidP="001A1C86">
            <w:pPr>
              <w:shd w:val="clear" w:color="auto" w:fill="FFFFFF"/>
              <w:rPr>
                <w:rFonts w:ascii="Arial" w:hAnsi="Arial" w:cs="Arial"/>
                <w:color w:val="000000"/>
              </w:rPr>
            </w:pPr>
            <w:hyperlink r:id="rId8" w:tgtFrame="_blank" w:history="1">
              <w:r w:rsidRPr="008908DD">
                <w:rPr>
                  <w:rStyle w:val="Hipervnculo"/>
                  <w:rFonts w:ascii="Arial" w:hAnsi="Arial" w:cs="Arial"/>
                  <w:b/>
                  <w:bCs/>
                  <w:color w:val="005A95"/>
                  <w:sz w:val="16"/>
                  <w:szCs w:val="16"/>
                </w:rPr>
                <w:t>https://youtube.com/live/CEO6almqtr4?feature=share</w:t>
              </w:r>
            </w:hyperlink>
            <w:r>
              <w:rPr>
                <w:rFonts w:ascii="Arial" w:hAnsi="Arial" w:cs="Arial"/>
                <w:color w:val="000000"/>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416B9D42"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43A24B98"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1F486CEE"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9</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023EF52C" w:rsidR="00554F80" w:rsidRPr="00554F80" w:rsidRDefault="00E541A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6F4F875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0FB83603" w:rsidR="00554F80" w:rsidRPr="00554F80" w:rsidRDefault="00E541A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6706">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0A2BFE"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103CE"/>
    <w:rsid w:val="0033134F"/>
    <w:rsid w:val="003752CB"/>
    <w:rsid w:val="00381FFF"/>
    <w:rsid w:val="00387072"/>
    <w:rsid w:val="00387AF6"/>
    <w:rsid w:val="003C2741"/>
    <w:rsid w:val="003E29A2"/>
    <w:rsid w:val="003F5668"/>
    <w:rsid w:val="004055AD"/>
    <w:rsid w:val="00441F4B"/>
    <w:rsid w:val="00464BE7"/>
    <w:rsid w:val="004A398B"/>
    <w:rsid w:val="004B5274"/>
    <w:rsid w:val="004D0C67"/>
    <w:rsid w:val="005000B0"/>
    <w:rsid w:val="00525505"/>
    <w:rsid w:val="00531166"/>
    <w:rsid w:val="00533F04"/>
    <w:rsid w:val="00554F80"/>
    <w:rsid w:val="00583EDC"/>
    <w:rsid w:val="005A5895"/>
    <w:rsid w:val="005B464F"/>
    <w:rsid w:val="006042A7"/>
    <w:rsid w:val="00616B41"/>
    <w:rsid w:val="0063494C"/>
    <w:rsid w:val="00655291"/>
    <w:rsid w:val="006825D1"/>
    <w:rsid w:val="0068711B"/>
    <w:rsid w:val="006A371F"/>
    <w:rsid w:val="006E59D1"/>
    <w:rsid w:val="00707225"/>
    <w:rsid w:val="00733A8D"/>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730F3"/>
    <w:rsid w:val="008908DD"/>
    <w:rsid w:val="008943E7"/>
    <w:rsid w:val="008F6BBB"/>
    <w:rsid w:val="009044B2"/>
    <w:rsid w:val="00930AAA"/>
    <w:rsid w:val="00933EBF"/>
    <w:rsid w:val="00993464"/>
    <w:rsid w:val="009D4344"/>
    <w:rsid w:val="009D5E46"/>
    <w:rsid w:val="009F703C"/>
    <w:rsid w:val="00A67EE0"/>
    <w:rsid w:val="00A813B3"/>
    <w:rsid w:val="00A92F91"/>
    <w:rsid w:val="00A97695"/>
    <w:rsid w:val="00AB3909"/>
    <w:rsid w:val="00AC3E01"/>
    <w:rsid w:val="00AD534E"/>
    <w:rsid w:val="00AE2A11"/>
    <w:rsid w:val="00AF0C7F"/>
    <w:rsid w:val="00B01C44"/>
    <w:rsid w:val="00B025A8"/>
    <w:rsid w:val="00B2136D"/>
    <w:rsid w:val="00B27880"/>
    <w:rsid w:val="00B473E5"/>
    <w:rsid w:val="00B81C9D"/>
    <w:rsid w:val="00B962C0"/>
    <w:rsid w:val="00BE3580"/>
    <w:rsid w:val="00C45D97"/>
    <w:rsid w:val="00C47725"/>
    <w:rsid w:val="00C621B9"/>
    <w:rsid w:val="00C70677"/>
    <w:rsid w:val="00C93B4E"/>
    <w:rsid w:val="00CA220D"/>
    <w:rsid w:val="00CA2586"/>
    <w:rsid w:val="00CD6BF8"/>
    <w:rsid w:val="00CF403E"/>
    <w:rsid w:val="00D027AC"/>
    <w:rsid w:val="00D11203"/>
    <w:rsid w:val="00D333F7"/>
    <w:rsid w:val="00D514C5"/>
    <w:rsid w:val="00D75753"/>
    <w:rsid w:val="00D81CF5"/>
    <w:rsid w:val="00D82F05"/>
    <w:rsid w:val="00DB19CF"/>
    <w:rsid w:val="00DB35CA"/>
    <w:rsid w:val="00DB4335"/>
    <w:rsid w:val="00DC0D26"/>
    <w:rsid w:val="00DD0B00"/>
    <w:rsid w:val="00DE7828"/>
    <w:rsid w:val="00DF25A4"/>
    <w:rsid w:val="00E03B64"/>
    <w:rsid w:val="00E3401A"/>
    <w:rsid w:val="00E541A7"/>
    <w:rsid w:val="00EB3EAC"/>
    <w:rsid w:val="00EC3E7A"/>
    <w:rsid w:val="00ED3CF4"/>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357044699">
      <w:bodyDiv w:val="1"/>
      <w:marLeft w:val="0"/>
      <w:marRight w:val="0"/>
      <w:marTop w:val="0"/>
      <w:marBottom w:val="0"/>
      <w:divBdr>
        <w:top w:val="none" w:sz="0" w:space="0" w:color="auto"/>
        <w:left w:val="none" w:sz="0" w:space="0" w:color="auto"/>
        <w:bottom w:val="none" w:sz="0" w:space="0" w:color="auto"/>
        <w:right w:val="none" w:sz="0" w:space="0" w:color="auto"/>
      </w:divBdr>
      <w:divsChild>
        <w:div w:id="949361815">
          <w:marLeft w:val="0"/>
          <w:marRight w:val="0"/>
          <w:marTop w:val="0"/>
          <w:marBottom w:val="0"/>
          <w:divBdr>
            <w:top w:val="none" w:sz="0" w:space="0" w:color="auto"/>
            <w:left w:val="none" w:sz="0" w:space="0" w:color="auto"/>
            <w:bottom w:val="none" w:sz="0" w:space="0" w:color="auto"/>
            <w:right w:val="none" w:sz="0" w:space="0" w:color="auto"/>
          </w:divBdr>
          <w:divsChild>
            <w:div w:id="433525446">
              <w:marLeft w:val="0"/>
              <w:marRight w:val="0"/>
              <w:marTop w:val="0"/>
              <w:marBottom w:val="0"/>
              <w:divBdr>
                <w:top w:val="none" w:sz="0" w:space="0" w:color="auto"/>
                <w:left w:val="none" w:sz="0" w:space="0" w:color="auto"/>
                <w:bottom w:val="none" w:sz="0" w:space="0" w:color="auto"/>
                <w:right w:val="none" w:sz="0" w:space="0" w:color="auto"/>
              </w:divBdr>
            </w:div>
          </w:divsChild>
        </w:div>
        <w:div w:id="1477379296">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CEO6almqtr4?feature=share" TargetMode="External"/><Relationship Id="rId3" Type="http://schemas.openxmlformats.org/officeDocument/2006/relationships/settings" Target="settings.xml"/><Relationship Id="rId7" Type="http://schemas.openxmlformats.org/officeDocument/2006/relationships/hyperlink" Target="https://meet.google.com/ebw-uxcr-a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438</TotalTime>
  <Pages>2</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156</cp:revision>
  <cp:lastPrinted>2025-04-24T17:56:00Z</cp:lastPrinted>
  <dcterms:created xsi:type="dcterms:W3CDTF">2024-07-13T00:05:00Z</dcterms:created>
  <dcterms:modified xsi:type="dcterms:W3CDTF">2025-05-23T14:59:00Z</dcterms:modified>
</cp:coreProperties>
</file>