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330EF1F" w:rsidR="0020208F" w:rsidRPr="0020208F" w:rsidRDefault="002510A9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HUAYLLAMARCA – FASE (VII) 2025 </w:t>
            </w:r>
            <w:r w:rsidR="00CD062F"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 w:rsidR="00CD062F"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9EAD290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2510A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7ACB501" w:rsidR="00EC591A" w:rsidRPr="0020208F" w:rsidRDefault="002510A9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EE624C">
              <w:rPr>
                <w:rFonts w:ascii="Arial" w:hAnsi="Arial" w:cs="Arial"/>
                <w:b/>
                <w:sz w:val="16"/>
                <w:szCs w:val="16"/>
              </w:rPr>
              <w:t>Bs. 2.052.915,94 (Dos millones cincuenta y dos mil novecientos quince 94/100 bolivianos).</w:t>
            </w:r>
            <w:r w:rsidRPr="00EC03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9D122E3" w:rsidR="00190E98" w:rsidRPr="0020208F" w:rsidRDefault="002510A9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6054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6"/>
        <w:gridCol w:w="3468"/>
        <w:gridCol w:w="134"/>
        <w:gridCol w:w="134"/>
        <w:gridCol w:w="331"/>
        <w:gridCol w:w="134"/>
        <w:gridCol w:w="363"/>
        <w:gridCol w:w="120"/>
        <w:gridCol w:w="15"/>
        <w:gridCol w:w="480"/>
        <w:gridCol w:w="6"/>
        <w:gridCol w:w="134"/>
        <w:gridCol w:w="122"/>
        <w:gridCol w:w="13"/>
        <w:gridCol w:w="339"/>
        <w:gridCol w:w="6"/>
        <w:gridCol w:w="128"/>
        <w:gridCol w:w="9"/>
        <w:gridCol w:w="339"/>
        <w:gridCol w:w="13"/>
        <w:gridCol w:w="141"/>
        <w:gridCol w:w="134"/>
        <w:gridCol w:w="2860"/>
        <w:gridCol w:w="6"/>
        <w:gridCol w:w="360"/>
      </w:tblGrid>
      <w:tr w:rsidR="0020208F" w:rsidRPr="0020208F" w14:paraId="0A8152FE" w14:textId="77777777" w:rsidTr="00CD062F">
        <w:trPr>
          <w:trHeight w:val="285"/>
        </w:trPr>
        <w:tc>
          <w:tcPr>
            <w:tcW w:w="5000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CD062F">
        <w:trPr>
          <w:trHeight w:val="285"/>
        </w:trPr>
        <w:tc>
          <w:tcPr>
            <w:tcW w:w="209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0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575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CD062F" w:rsidRPr="0020208F" w14:paraId="617753AA" w14:textId="77777777" w:rsidTr="00CD062F">
        <w:trPr>
          <w:trHeight w:val="57"/>
        </w:trPr>
        <w:tc>
          <w:tcPr>
            <w:tcW w:w="41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689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95FD106" w14:textId="77777777" w:rsidTr="00CD062F">
        <w:trPr>
          <w:trHeight w:val="53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7702D5B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83E86E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5749EC0" w14:textId="77777777" w:rsidTr="00CD062F">
        <w:trPr>
          <w:trHeight w:val="541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74DB2BE1" w14:textId="77777777" w:rsidTr="00CD062F">
        <w:trPr>
          <w:trHeight w:val="70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49A79A1A" w14:textId="77777777" w:rsidTr="00CD062F">
        <w:trPr>
          <w:trHeight w:val="77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2707B93A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5FF9B047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F1A4FD0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2A3BB04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64FF125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72C44CC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5681AB4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AE309C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AAF9F1C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EA48BF2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83D0330" w:rsidR="0020208F" w:rsidRPr="00096387" w:rsidRDefault="00C41549" w:rsidP="00C41549">
            <w:pPr>
              <w:spacing w:after="0"/>
              <w:jc w:val="center"/>
            </w:pPr>
            <w:hyperlink r:id="rId9" w:history="1">
              <w:r w:rsidRPr="004361AE">
                <w:rPr>
                  <w:rStyle w:val="Hipervnculo"/>
                </w:rPr>
                <w:t>https://meet.google.com/eon-fjqr-vsq</w:t>
              </w:r>
            </w:hyperlink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4D7B8F2" w14:textId="77777777" w:rsidTr="00CD062F">
        <w:trPr>
          <w:trHeight w:val="150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7A22355D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296C25FA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3F3CC26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E34CE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4362D3A" w14:textId="77777777" w:rsidTr="00CD062F">
        <w:trPr>
          <w:trHeight w:val="53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39249473" w14:textId="77777777" w:rsidTr="00CD062F">
        <w:trPr>
          <w:trHeight w:val="74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D062F" w:rsidRPr="0020208F" w14:paraId="3BCE0D17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2F5AC064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0AA873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8E1C4AF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1E75AF21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43691F3F" w14:textId="77777777" w:rsidTr="00CD062F">
        <w:trPr>
          <w:trHeight w:val="173"/>
        </w:trPr>
        <w:tc>
          <w:tcPr>
            <w:tcW w:w="41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42E3760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9D76E9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13AF7D60" w14:textId="77777777" w:rsidTr="00CD062F">
        <w:trPr>
          <w:trHeight w:val="53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AF0F41A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27A26F75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B0FFCE2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D63B7CD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E2A768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6BA2AF6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1122390A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1804424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53DAAB7" w:rsidR="0020208F" w:rsidRPr="0020208F" w:rsidRDefault="00CD062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309C97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D06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4C431BFE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B220" w14:textId="77777777" w:rsidR="00ED40AB" w:rsidRDefault="00ED40AB">
      <w:pPr>
        <w:spacing w:line="240" w:lineRule="auto"/>
      </w:pPr>
      <w:r>
        <w:separator/>
      </w:r>
    </w:p>
  </w:endnote>
  <w:endnote w:type="continuationSeparator" w:id="0">
    <w:p w14:paraId="13D5C8C7" w14:textId="77777777" w:rsidR="00ED40AB" w:rsidRDefault="00ED4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F8F7" w14:textId="77777777" w:rsidR="00ED40AB" w:rsidRDefault="00ED40AB">
      <w:pPr>
        <w:spacing w:after="0"/>
      </w:pPr>
      <w:r>
        <w:separator/>
      </w:r>
    </w:p>
  </w:footnote>
  <w:footnote w:type="continuationSeparator" w:id="0">
    <w:p w14:paraId="2957B5BA" w14:textId="77777777" w:rsidR="00ED40AB" w:rsidRDefault="00ED40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1D14"/>
    <w:rsid w:val="00096387"/>
    <w:rsid w:val="000D18BA"/>
    <w:rsid w:val="00130F0E"/>
    <w:rsid w:val="00190E98"/>
    <w:rsid w:val="001B744E"/>
    <w:rsid w:val="001C0710"/>
    <w:rsid w:val="0020208F"/>
    <w:rsid w:val="002510A9"/>
    <w:rsid w:val="0026378F"/>
    <w:rsid w:val="002824AD"/>
    <w:rsid w:val="0031140B"/>
    <w:rsid w:val="0031560E"/>
    <w:rsid w:val="0039021F"/>
    <w:rsid w:val="004327E6"/>
    <w:rsid w:val="00444D4D"/>
    <w:rsid w:val="00447E8A"/>
    <w:rsid w:val="004874E7"/>
    <w:rsid w:val="0049152B"/>
    <w:rsid w:val="004B2CBE"/>
    <w:rsid w:val="005124B0"/>
    <w:rsid w:val="00534D34"/>
    <w:rsid w:val="00621ED2"/>
    <w:rsid w:val="00644830"/>
    <w:rsid w:val="007821C1"/>
    <w:rsid w:val="007F4EFB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6077E"/>
    <w:rsid w:val="00B748C0"/>
    <w:rsid w:val="00BB340D"/>
    <w:rsid w:val="00C0126E"/>
    <w:rsid w:val="00C41549"/>
    <w:rsid w:val="00CB661F"/>
    <w:rsid w:val="00CD062F"/>
    <w:rsid w:val="00CF113F"/>
    <w:rsid w:val="00D13214"/>
    <w:rsid w:val="00D67D3B"/>
    <w:rsid w:val="00DA2CCA"/>
    <w:rsid w:val="00E423F7"/>
    <w:rsid w:val="00E637D8"/>
    <w:rsid w:val="00EA6089"/>
    <w:rsid w:val="00EC591A"/>
    <w:rsid w:val="00ED40AB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eon-fjqr-vs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2025-06-16T19:13:00Z</cp:lastPrinted>
  <dcterms:created xsi:type="dcterms:W3CDTF">2025-06-16T19:30:00Z</dcterms:created>
  <dcterms:modified xsi:type="dcterms:W3CDTF">2025-06-16T19:30:00Z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