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8.jpeg" ContentType="image/jpeg"/>
  <Override PartName="/word/media/image6.png" ContentType="image/png"/>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635</wp:posOffset>
                </wp:positionV>
                <wp:extent cx="5537835" cy="3808730"/>
                <wp:effectExtent l="7620" t="6985" r="6350" b="6985"/>
                <wp:wrapNone/>
                <wp:docPr id="1" name="Proceso alternativo 1"/>
                <a:graphic xmlns:a="http://schemas.openxmlformats.org/drawingml/2006/main">
                  <a:graphicData uri="http://schemas.microsoft.com/office/word/2010/wordprocessingShape">
                    <wps:wsp>
                      <wps:cNvSpPr/>
                      <wps:spPr>
                        <a:xfrm>
                          <a:off x="0" y="0"/>
                          <a:ext cx="5537880" cy="38088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TINGUIPAYA</w:t>
                            </w:r>
                            <w:r>
                              <w:rPr>
                                <w:rFonts w:cs="Arial" w:ascii="Century Gothic" w:hAnsi="Century Gothic"/>
                                <w:b/>
                                <w:color w:val="0000FF"/>
                                <w:sz w:val="28"/>
                              </w:rPr>
                              <w:t xml:space="preserve"> – FASE (</w:t>
                            </w:r>
                            <w:r>
                              <w:rPr>
                                <w:rFonts w:cs="Arial" w:ascii="Century Gothic" w:hAnsi="Century Gothic"/>
                                <w:b/>
                                <w:color w:val="FF0000"/>
                                <w:sz w:val="28"/>
                              </w:rPr>
                              <w:t>XII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58</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0pt;width:436pt;height:299.85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TINGUIPAYA</w:t>
                      </w:r>
                      <w:r>
                        <w:rPr>
                          <w:rFonts w:cs="Arial" w:ascii="Century Gothic" w:hAnsi="Century Gothic"/>
                          <w:b/>
                          <w:color w:val="0000FF"/>
                          <w:sz w:val="28"/>
                        </w:rPr>
                        <w:t xml:space="preserve"> – FASE (</w:t>
                      </w:r>
                      <w:r>
                        <w:rPr>
                          <w:rFonts w:cs="Arial" w:ascii="Century Gothic" w:hAnsi="Century Gothic"/>
                          <w:b/>
                          <w:color w:val="FF0000"/>
                          <w:sz w:val="28"/>
                        </w:rPr>
                        <w:t>XII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58</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TINGUIPAYA </w:t>
            </w:r>
            <w:r>
              <w:rPr>
                <w:rFonts w:cs="Calibri" w:ascii="Verdana" w:hAnsi="Verdana"/>
                <w:b/>
                <w:bCs/>
                <w:sz w:val="16"/>
                <w:szCs w:val="16"/>
                <w:lang w:eastAsia="es-ES"/>
              </w:rPr>
              <w:t>– FASE(</w:t>
            </w:r>
            <w:r>
              <w:rPr>
                <w:rFonts w:cs="Calibri" w:ascii="Verdana" w:hAnsi="Verdana"/>
                <w:b/>
                <w:bCs/>
                <w:color w:val="FF0000"/>
                <w:sz w:val="16"/>
                <w:szCs w:val="16"/>
                <w:lang w:eastAsia="es-ES"/>
              </w:rPr>
              <w:t>XII</w:t>
            </w:r>
            <w:r>
              <w:rPr>
                <w:rFonts w:cs="Calibri" w:ascii="Verdana" w:hAnsi="Verdana"/>
                <w:b/>
                <w:bCs/>
                <w:sz w:val="16"/>
                <w:szCs w:val="16"/>
                <w:lang w:eastAsia="es-ES"/>
              </w:rPr>
              <w:t>) 20</w:t>
            </w:r>
            <w:r>
              <w:rPr>
                <w:rFonts w:cs="Calibri" w:ascii="Verdana" w:hAnsi="Verdana"/>
                <w:b/>
                <w:bCs/>
                <w:color w:val="FF0000"/>
                <w:sz w:val="16"/>
                <w:szCs w:val="16"/>
                <w:lang w:eastAsia="es-ES"/>
              </w:rPr>
              <w:t>24</w:t>
            </w:r>
            <w:r>
              <w:rPr>
                <w:rFonts w:cs="Calibri" w:ascii="Verdana" w:hAnsi="Verdana"/>
                <w:b/>
                <w:bCs/>
                <w:sz w:val="16"/>
                <w:szCs w:val="16"/>
                <w:lang w:eastAsia="es-ES"/>
              </w:rPr>
              <w:t>– POTOSI (CUARTA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58</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2024</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3.019.444,</w:t>
            </w:r>
            <w:r>
              <w:rPr>
                <w:b/>
                <w:color w:val="FF0000"/>
                <w:sz w:val="18"/>
                <w:szCs w:val="18"/>
                <w:lang w:val="es-BO"/>
              </w:rPr>
              <w:t>4</w:t>
            </w:r>
            <w:r>
              <w:rPr>
                <w:b/>
                <w:color w:val="FF0000"/>
                <w:sz w:val="18"/>
                <w:szCs w:val="18"/>
                <w:lang w:val="es-BO"/>
              </w:rPr>
              <w:t xml:space="preserve">4 </w:t>
            </w:r>
            <w:r>
              <w:rPr>
                <w:b/>
                <w:sz w:val="18"/>
                <w:szCs w:val="18"/>
                <w:lang w:val="es-BO"/>
              </w:rPr>
              <w:t>(</w:t>
            </w:r>
            <w:r>
              <w:rPr>
                <w:bCs/>
                <w:sz w:val="18"/>
                <w:szCs w:val="18"/>
                <w:lang w:val="es-BO"/>
              </w:rPr>
              <w:t xml:space="preserve">Tres Millones Diecinueve Mil Cuatrocientos Cuarenta y Cuatro </w:t>
            </w:r>
            <w:r>
              <w:rPr>
                <w:bCs/>
                <w:sz w:val="18"/>
                <w:szCs w:val="18"/>
                <w:lang w:val="es-BO"/>
              </w:rPr>
              <w:t>44</w:t>
            </w:r>
            <w:r>
              <w:rPr>
                <w:bCs/>
                <w:sz w:val="18"/>
                <w:szCs w:val="18"/>
                <w:lang w:val="es-BO"/>
              </w:rPr>
              <w:t>/1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150</w:t>
            </w:r>
            <w:r>
              <w:rPr>
                <w:rFonts w:cs="Arial" w:ascii="Arial" w:hAnsi="Arial"/>
                <w:sz w:val="18"/>
                <w:szCs w:val="18"/>
                <w:lang w:val="es-BO"/>
              </w:rPr>
              <w:t xml:space="preserve"> (</w:t>
            </w:r>
            <w:r>
              <w:rPr>
                <w:rFonts w:cs="Arial" w:ascii="Arial" w:hAnsi="Arial"/>
                <w:color w:val="FF0000"/>
                <w:sz w:val="18"/>
                <w:szCs w:val="18"/>
                <w:lang w:val="es-BO"/>
              </w:rPr>
              <w:t>Ciento Cincuenta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9165" w:type="dxa"/>
        <w:jc w:val="left"/>
        <w:tblInd w:w="-5" w:type="dxa"/>
        <w:tblLayout w:type="fixed"/>
        <w:tblCellMar>
          <w:top w:w="0" w:type="dxa"/>
          <w:left w:w="108" w:type="dxa"/>
          <w:bottom w:w="0" w:type="dxa"/>
          <w:right w:w="108" w:type="dxa"/>
        </w:tblCellMar>
        <w:tblLook w:val="01e0" w:noHBand="0" w:noVBand="0" w:firstColumn="1" w:lastRow="1" w:lastColumn="1" w:firstRow="1"/>
      </w:tblPr>
      <w:tblGrid>
        <w:gridCol w:w="2586"/>
        <w:gridCol w:w="189"/>
        <w:gridCol w:w="142"/>
        <w:gridCol w:w="952"/>
        <w:gridCol w:w="141"/>
        <w:gridCol w:w="985"/>
        <w:gridCol w:w="53"/>
        <w:gridCol w:w="748"/>
        <w:gridCol w:w="535"/>
        <w:gridCol w:w="251"/>
        <w:gridCol w:w="2426"/>
        <w:gridCol w:w="157"/>
      </w:tblGrid>
      <w:tr>
        <w:trPr/>
        <w:tc>
          <w:tcPr>
            <w:tcW w:w="9165"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86"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39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86"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9"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42"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5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4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8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5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83"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6"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86"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42"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5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4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8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5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83"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5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2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7"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8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5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41"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8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3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77"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7"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86"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9"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42"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5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4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8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5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83"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6"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86"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42"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5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4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5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83"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5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7"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8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5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41"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8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3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77"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7"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8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9"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42"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5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4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8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5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83"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6"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86"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42"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5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4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sz w:val="14"/>
                <w:szCs w:val="14"/>
              </w:rPr>
            </w:pPr>
            <w:r>
              <w:rPr>
                <w:rFonts w:cs="Arial" w:ascii="Arial" w:hAnsi="Arial"/>
                <w:sz w:val="14"/>
                <w:szCs w:val="14"/>
                <w:lang w:val="es-BO"/>
              </w:rPr>
              <w:t>NEGRETTY</w:t>
            </w:r>
          </w:p>
        </w:tc>
        <w:tc>
          <w:tcPr>
            <w:tcW w:w="5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83"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5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7"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86"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42"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5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41"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5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83"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1"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6"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7"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01</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01</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bookmarkStart w:id="32" w:name="_Hlk179192265"/>
          </w:p>
          <w:p>
            <w:pPr>
              <w:pStyle w:val="Normal"/>
              <w:widowControl w:val="false"/>
              <w:jc w:val="center"/>
              <w:rPr>
                <w:rFonts w:ascii="Tahoma" w:hAnsi="Tahoma" w:eastAsia="Calibri" w:cs="Tahoma"/>
                <w:b/>
                <w:b/>
                <w:bCs/>
                <w:sz w:val="14"/>
                <w:szCs w:val="14"/>
              </w:rPr>
            </w:pPr>
            <w:r>
              <w:rPr>
                <w:rFonts w:cs="Tahoma" w:ascii="Tahoma" w:hAnsi="Tahoma"/>
                <w:b/>
              </w:rPr>
              <w:t>TINGUIPAYA - FASE (XII) 2024 - POTOSI</w:t>
            </w:r>
            <w:bookmarkEnd w:id="32"/>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3"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4" w:name="_Toc71811144"/>
      <w:r>
        <w:rPr>
          <w:rFonts w:cs="Tahoma" w:ascii="Tahoma" w:hAnsi="Tahoma"/>
          <w:b/>
        </w:rPr>
        <w:t xml:space="preserve">PROYECTO DE VIVIENDA CUALITATIVA EN EL MUNICIPIO DE                                                 </w:t>
      </w:r>
      <w:r>
        <w:rPr>
          <w:rFonts w:cs="Tahoma" w:ascii="Tahoma" w:hAnsi="Tahoma"/>
          <w:b/>
          <w:color w:val="FF0000"/>
        </w:rPr>
        <w:t>TINGUIPAYA - FASE (XII)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TINGUIPAYA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5"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 xml:space="preserve">mejoramiento, ampliación y mejoramiento + ampliación </w:t>
      </w:r>
      <w:r>
        <w:rPr>
          <w:rFonts w:cs="Tahoma" w:ascii="Tahoma" w:hAnsi="Tahoma"/>
          <w:b/>
          <w:color w:val="FF0000"/>
          <w:highlight w:val="green"/>
        </w:rPr>
        <w:t>o renovación</w:t>
      </w:r>
      <w:r>
        <w:rPr>
          <w:rFonts w:cs="Tahoma" w:ascii="Tahoma" w:hAnsi="Tahoma"/>
          <w:color w:val="FF0000"/>
          <w:highlight w:val="green"/>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10.65</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7.63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3.74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2.30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15.65</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bCs/>
                <w:color w:val="F4B083" w:themeColor="accent2" w:themeTint="99"/>
              </w:rPr>
            </w:pPr>
            <w:r>
              <w:rPr>
                <w:rFonts w:cs="Tahoma" w:ascii="Tahoma" w:hAnsi="Tahoma"/>
                <w:b/>
                <w:bCs/>
                <w:color w:val="F4B083" w:themeColor="accent2" w:themeTint="99"/>
              </w:rPr>
              <w:t>53.49</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bCs/>
                <w:color w:val="F4B083" w:themeColor="accent2" w:themeTint="99"/>
              </w:rPr>
            </w:pPr>
            <w:r>
              <w:rPr>
                <w:rFonts w:cs="Tahoma" w:ascii="Tahoma" w:hAnsi="Tahoma"/>
                <w:b/>
                <w:bCs/>
                <w:color w:val="F4B083" w:themeColor="accent2" w:themeTint="99"/>
              </w:rPr>
              <w:t>60.90</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4"/>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4"/>
        </w:numPr>
        <w:ind w:left="284" w:hanging="360"/>
        <w:jc w:val="both"/>
        <w:rPr>
          <w:rFonts w:ascii="Tahoma" w:hAnsi="Tahoma" w:cs="Tahoma"/>
          <w:szCs w:val="24"/>
          <w:highlight w:val="yellow"/>
          <w:lang w:val="es-ES_tradnl" w:eastAsia="es-ES"/>
        </w:rPr>
      </w:pPr>
      <w:bookmarkStart w:id="36"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6"/>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7" w:name="_Toc71811146"/>
      <w:bookmarkStart w:id="38" w:name="_Hlk145576767"/>
      <w:bookmarkEnd w:id="38"/>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mc:AlternateContent>
          <mc:Choice Requires="wpg">
            <w:drawing>
              <wp:anchor behindDoc="0" distT="0" distB="9525" distL="0" distR="0" simplePos="0" locked="0" layoutInCell="0" allowOverlap="1" relativeHeight="30" wp14:anchorId="22CB3025">
                <wp:simplePos x="0" y="0"/>
                <wp:positionH relativeFrom="margin">
                  <wp:align>center</wp:align>
                </wp:positionH>
                <wp:positionV relativeFrom="paragraph">
                  <wp:posOffset>-52705</wp:posOffset>
                </wp:positionV>
                <wp:extent cx="4572000" cy="2447925"/>
                <wp:effectExtent l="0" t="0" r="0" b="9525"/>
                <wp:wrapNone/>
                <wp:docPr id="4" name="Grupo 924054356"/>
                <a:graphic xmlns:a="http://schemas.openxmlformats.org/drawingml/2006/main">
                  <a:graphicData uri="http://schemas.microsoft.com/office/word/2010/wordprocessingGroup">
                    <wpg:wgp>
                      <wpg:cNvGrpSpPr/>
                      <wpg:grpSpPr>
                        <a:xfrm>
                          <a:off x="0" y="0"/>
                          <a:ext cx="4572000" cy="2448000"/>
                          <a:chOff x="0" y="0"/>
                          <a:chExt cx="4572000" cy="2448000"/>
                        </a:xfrm>
                      </wpg:grpSpPr>
                      <pic:pic xmlns:pic="http://schemas.openxmlformats.org/drawingml/2006/picture">
                        <pic:nvPicPr>
                          <pic:cNvPr id="0" name="Imagen 2039225969" descr=""/>
                          <pic:cNvPicPr/>
                        </pic:nvPicPr>
                        <pic:blipFill>
                          <a:blip r:embed="rId4"/>
                          <a:stretch/>
                        </pic:blipFill>
                        <pic:spPr>
                          <a:xfrm>
                            <a:off x="0" y="0"/>
                            <a:ext cx="2133720" cy="2448000"/>
                          </a:xfrm>
                          <a:prstGeom prst="rect">
                            <a:avLst/>
                          </a:prstGeom>
                          <a:ln w="0">
                            <a:noFill/>
                          </a:ln>
                        </pic:spPr>
                      </pic:pic>
                      <pic:pic xmlns:pic="http://schemas.openxmlformats.org/drawingml/2006/picture">
                        <pic:nvPicPr>
                          <pic:cNvPr id="1" name="Imagen 1403862522" descr=""/>
                          <pic:cNvPicPr/>
                        </pic:nvPicPr>
                        <pic:blipFill>
                          <a:blip r:embed="rId5"/>
                          <a:stretch/>
                        </pic:blipFill>
                        <pic:spPr>
                          <a:xfrm>
                            <a:off x="2393280" y="129600"/>
                            <a:ext cx="2178720" cy="2172240"/>
                          </a:xfrm>
                          <a:prstGeom prst="rect">
                            <a:avLst/>
                          </a:prstGeom>
                          <a:ln w="0">
                            <a:noFill/>
                          </a:ln>
                        </pic:spPr>
                      </pic:pic>
                    </wpg:wgp>
                  </a:graphicData>
                </a:graphic>
              </wp:anchor>
            </w:drawing>
          </mc:Choice>
          <mc:Fallback>
            <w:pict>
              <v:group id="shape_0" alt="Grupo 924054356" style="position:absolute;margin-left:51.55pt;margin-top:-4.15pt;width:360pt;height:192.75pt" coordorigin="1031,-83" coordsize="7200,3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039225969" stroked="f" o:allowincell="f" style="position:absolute;left:1031;top:-83;width:3359;height:3854;mso-wrap-style:none;v-text-anchor:middle;mso-position-horizontal:center;mso-position-horizontal-relative:margin" type="_x0000_t75">
                  <v:imagedata r:id="rId4" o:detectmouseclick="t"/>
                  <v:stroke color="#3465a4" joinstyle="round" endcap="flat"/>
                  <w10:wrap type="none"/>
                </v:shape>
                <v:shape id="shape_0" ID="Imagen 1403862522" stroked="f" o:allowincell="f" style="position:absolute;left:4800;top:121;width:3430;height:3420;mso-wrap-style:none;v-text-anchor:middle;mso-position-horizontal:center;mso-position-horizontal-relative:margin" type="_x0000_t75">
                  <v:imagedata r:id="rId5" o:detectmouseclick="t"/>
                  <v:stroke color="#3465a4" joinstyle="round" endcap="flat"/>
                  <w10:wrap type="none"/>
                </v:shape>
              </v:group>
            </w:pict>
          </mc:Fallback>
        </mc:AlternateContent>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bookmarkStart w:id="39" w:name="_Hlk145576767"/>
      <w:bookmarkStart w:id="40" w:name="_Hlk145576767"/>
      <w:bookmarkEnd w:id="40"/>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1" w:name="_Toc71811146"/>
      <w:r>
        <w:rPr>
          <w:rFonts w:cs="Tahoma" w:ascii="Tahoma" w:hAnsi="Tahoma"/>
          <w:b/>
          <w:bCs/>
          <w:color w:val="000000"/>
          <w:kern w:val="2"/>
          <w:lang w:val="es-ES_tradnl"/>
        </w:rPr>
        <w:t>UBICACIÓN GEOGRÁFICA DEL PROYECTO.</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TINGUIPAYA</w:t>
      </w:r>
      <w:r>
        <w:rPr>
          <w:rFonts w:cs="Tahoma" w:ascii="Tahoma" w:hAnsi="Tahoma"/>
          <w:lang w:val="es-ES_tradnl"/>
        </w:rPr>
        <w:t xml:space="preserve"> se encuentra en la provincia </w:t>
      </w:r>
      <w:r>
        <w:rPr>
          <w:rFonts w:cs="Tahoma" w:ascii="Tahoma" w:hAnsi="Tahoma"/>
          <w:color w:val="FF0000"/>
          <w:lang w:val="es-ES_tradnl"/>
        </w:rPr>
        <w:t>TOMAS FRIAS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i/>
          <w:color w:val="FF0000"/>
          <w:vertAlign w:val="subscript"/>
          <w:lang w:val="es-ES_tradnl"/>
        </w:rPr>
        <w:t xml:space="preserve"> </w:t>
      </w:r>
      <w:r>
        <w:rPr>
          <w:rFonts w:cs="Tahoma" w:ascii="Tahoma" w:hAnsi="Tahoma"/>
          <w:lang w:val="es-ES_tradnl"/>
        </w:rPr>
        <w:t xml:space="preserve">limita al norte con los </w:t>
      </w:r>
      <w:r>
        <w:rPr>
          <w:rFonts w:cs="Tahoma" w:ascii="Tahoma" w:hAnsi="Tahoma"/>
          <w:color w:val="FF0000"/>
          <w:lang w:val="es-ES_tradnl"/>
        </w:rPr>
        <w:t>Municipios de Colquechaca, 1° Sección de la Provincia Chayanta y Ocurrí 4° Sección de la misma</w:t>
      </w:r>
      <w:r>
        <w:rPr>
          <w:rFonts w:cs="Tahoma" w:ascii="Tahoma" w:hAnsi="Tahoma"/>
          <w:lang w:val="es-ES_tradnl"/>
        </w:rPr>
        <w:t xml:space="preserve">, al este con los </w:t>
      </w:r>
      <w:r>
        <w:rPr>
          <w:rFonts w:cs="Tahoma" w:ascii="Tahoma" w:hAnsi="Tahoma"/>
          <w:color w:val="FF0000"/>
          <w:lang w:val="es-ES_tradnl"/>
        </w:rPr>
        <w:t>Municipio de Taco bamba, 3° Sección de la Provincia Cornelio Saavedra del Departamento de Potosí</w:t>
      </w:r>
      <w:r>
        <w:rPr>
          <w:rFonts w:cs="Tahoma" w:ascii="Tahoma" w:hAnsi="Tahoma"/>
          <w:lang w:val="es-ES_tradnl"/>
        </w:rPr>
        <w:t xml:space="preserve">, al oeste con el </w:t>
      </w:r>
      <w:r>
        <w:rPr>
          <w:rFonts w:cs="Tahoma" w:ascii="Tahoma" w:hAnsi="Tahoma"/>
          <w:color w:val="FF0000"/>
          <w:lang w:val="es-ES_tradnl"/>
        </w:rPr>
        <w:t xml:space="preserve">Departamento de Oruro </w:t>
      </w:r>
      <w:r>
        <w:rPr>
          <w:rFonts w:cs="Tahoma" w:ascii="Tahoma" w:hAnsi="Tahoma"/>
          <w:lang w:val="es-ES_tradnl"/>
        </w:rPr>
        <w:t xml:space="preserve">y al sur con los </w:t>
      </w:r>
      <w:r>
        <w:rPr>
          <w:rFonts w:cs="Tahoma" w:ascii="Tahoma" w:hAnsi="Tahoma"/>
          <w:color w:val="FF0000"/>
          <w:lang w:val="es-ES_tradnl"/>
        </w:rPr>
        <w:t>Municipios de Villa de Yocalla, 2° Sección de la Provincia Tomás Frías y Potosí Sección Capital</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drawing>
          <wp:anchor behindDoc="0" distT="0" distB="0" distL="0" distR="0" simplePos="0" locked="0" layoutInCell="0" allowOverlap="1" relativeHeight="31">
            <wp:simplePos x="0" y="0"/>
            <wp:positionH relativeFrom="margin">
              <wp:align>center</wp:align>
            </wp:positionH>
            <wp:positionV relativeFrom="paragraph">
              <wp:posOffset>17780</wp:posOffset>
            </wp:positionV>
            <wp:extent cx="4204335" cy="3695700"/>
            <wp:effectExtent l="0" t="0" r="0" b="0"/>
            <wp:wrapNone/>
            <wp:docPr id="5"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9" descr=""/>
                    <pic:cNvPicPr>
                      <a:picLocks noChangeAspect="1" noChangeArrowheads="1"/>
                    </pic:cNvPicPr>
                  </pic:nvPicPr>
                  <pic:blipFill>
                    <a:blip r:embed="rId6"/>
                    <a:stretch>
                      <a:fillRect/>
                    </a:stretch>
                  </pic:blipFill>
                  <pic:spPr bwMode="auto">
                    <a:xfrm>
                      <a:off x="0" y="0"/>
                      <a:ext cx="4204335" cy="3695700"/>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2" w:name="_Toc71811147"/>
      <w:r>
        <w:rPr>
          <w:rFonts w:cs="Tahoma" w:ascii="Tahoma" w:hAnsi="Tahoma"/>
          <w:b/>
          <w:bCs/>
          <w:color w:val="000000"/>
          <w:kern w:val="2"/>
          <w:lang w:val="es-ES_tradnl"/>
        </w:rPr>
        <w:t>NUMERO DE VIVIENDAS A SER INTERVENIDAS</w:t>
      </w:r>
      <w:bookmarkEnd w:id="42"/>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rPr>
              <w:t>SURICHATA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rFonts w:cs="Tahoma" w:ascii="Tahoma" w:hAnsi="Tahoma"/>
                <w:b/>
                <w:bCs/>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rPr>
              <w:t>VILA PAMPA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rPr>
              <w:t>SAYACA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rPr>
              <w:t xml:space="preserve">CHOQUE CHAMBI AYLLU MAÑU </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rPr>
              <w:t>LLUCHUTA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3" w:name="_Toc71811148"/>
      <w:r>
        <w:rPr>
          <w:rFonts w:cs="Tahoma" w:ascii="Tahoma" w:hAnsi="Tahoma"/>
          <w:b/>
          <w:bCs/>
          <w:color w:val="000000"/>
          <w:kern w:val="2"/>
          <w:lang w:val="es-ES_tradnl"/>
        </w:rPr>
        <w:t>ACCESO A LAS COMUNIDADES O BARRIO/ZONA/URBANIZACIÓN/JUNTA VECINAL BENEFICIADAS</w:t>
      </w:r>
      <w:bookmarkEnd w:id="43"/>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1400"/>
        <w:gridCol w:w="2447"/>
        <w:gridCol w:w="1393"/>
        <w:gridCol w:w="1911"/>
        <w:gridCol w:w="1700"/>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40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44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39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91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70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bCs/>
                <w:color w:val="C00000"/>
                <w:lang w:eastAsia="es-BO"/>
              </w:rPr>
              <w:t>POTOSI</w:t>
            </w:r>
          </w:p>
        </w:tc>
        <w:tc>
          <w:tcPr>
            <w:tcW w:w="2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lang w:eastAsia="es-BO"/>
              </w:rPr>
            </w:pPr>
            <w:r>
              <w:rPr>
                <w:rFonts w:cs="Tahoma" w:ascii="Verdana" w:hAnsi="Verdana"/>
                <w:color w:val="C00000"/>
              </w:rPr>
              <w:t>TINGUIPAYA</w:t>
            </w:r>
          </w:p>
        </w:tc>
        <w:tc>
          <w:tcPr>
            <w:tcW w:w="1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75 KM</w:t>
            </w:r>
          </w:p>
        </w:tc>
        <w:tc>
          <w:tcPr>
            <w:tcW w:w="19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1 HRS. Y 9 MINT.</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Asfalto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
                <w:b/>
                <w:bCs/>
                <w:color w:val="C00000"/>
                <w:lang w:eastAsia="es-BO"/>
              </w:rPr>
            </w:pPr>
            <w:r>
              <w:rPr>
                <w:rFonts w:cs="Tahoma" w:ascii="Verdana" w:hAnsi="Verdana"/>
                <w:color w:val="C00000"/>
              </w:rPr>
              <w:t>TINGUIPAYA</w:t>
            </w:r>
          </w:p>
        </w:tc>
        <w:tc>
          <w:tcPr>
            <w:tcW w:w="2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lang w:eastAsia="es-BO"/>
              </w:rPr>
            </w:pPr>
            <w:r>
              <w:rPr>
                <w:rFonts w:cs="Tahoma" w:ascii="Verdana" w:hAnsi="Verdana"/>
                <w:color w:val="C00000"/>
              </w:rPr>
              <w:t>LLUCHUTA</w:t>
            </w:r>
          </w:p>
        </w:tc>
        <w:tc>
          <w:tcPr>
            <w:tcW w:w="1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35 KM</w:t>
            </w:r>
          </w:p>
        </w:tc>
        <w:tc>
          <w:tcPr>
            <w:tcW w:w="19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 HR. Y 30 MINT.</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
                <w:b/>
                <w:bCs/>
                <w:color w:val="C00000"/>
                <w:lang w:eastAsia="es-BO"/>
              </w:rPr>
            </w:pPr>
            <w:r>
              <w:rPr>
                <w:rFonts w:cs="Tahoma" w:ascii="Verdana" w:hAnsi="Verdana"/>
                <w:bCs/>
                <w:color w:val="C00000"/>
                <w:lang w:eastAsia="es-BO"/>
              </w:rPr>
              <w:t>LLUCHUTA</w:t>
            </w:r>
          </w:p>
        </w:tc>
        <w:tc>
          <w:tcPr>
            <w:tcW w:w="2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lang w:eastAsia="es-BO"/>
              </w:rPr>
            </w:pPr>
            <w:r>
              <w:rPr>
                <w:rFonts w:cs="Tahoma" w:ascii="Verdana" w:hAnsi="Verdana"/>
                <w:color w:val="C00000"/>
              </w:rPr>
              <w:t>VILA PAMPA</w:t>
            </w:r>
          </w:p>
        </w:tc>
        <w:tc>
          <w:tcPr>
            <w:tcW w:w="1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5 KM</w:t>
            </w:r>
          </w:p>
        </w:tc>
        <w:tc>
          <w:tcPr>
            <w:tcW w:w="19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10 MINT.</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
                <w:b/>
                <w:bCs/>
                <w:color w:val="C00000"/>
                <w:lang w:eastAsia="es-BO"/>
              </w:rPr>
            </w:pPr>
            <w:r>
              <w:rPr>
                <w:rFonts w:cs="Tahoma" w:ascii="Verdana" w:hAnsi="Verdana"/>
                <w:bCs/>
                <w:color w:val="C00000"/>
                <w:lang w:eastAsia="es-BO"/>
              </w:rPr>
              <w:t>LLUCHUTA</w:t>
            </w:r>
          </w:p>
        </w:tc>
        <w:tc>
          <w:tcPr>
            <w:tcW w:w="2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lang w:eastAsia="es-BO"/>
              </w:rPr>
            </w:pPr>
            <w:r>
              <w:rPr>
                <w:rFonts w:cs="Tahoma" w:ascii="Verdana" w:hAnsi="Verdana"/>
                <w:color w:val="C00000"/>
              </w:rPr>
              <w:t>SAYACA</w:t>
            </w:r>
          </w:p>
        </w:tc>
        <w:tc>
          <w:tcPr>
            <w:tcW w:w="1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5 KM</w:t>
            </w:r>
          </w:p>
        </w:tc>
        <w:tc>
          <w:tcPr>
            <w:tcW w:w="19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10 MINT.</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
                <w:b/>
                <w:bCs/>
                <w:color w:val="C00000"/>
                <w:lang w:eastAsia="es-BO"/>
              </w:rPr>
            </w:pPr>
            <w:r>
              <w:rPr>
                <w:rFonts w:cs="Tahoma" w:ascii="Verdana" w:hAnsi="Verdana"/>
                <w:color w:val="C00000"/>
              </w:rPr>
              <w:t>SAYACA</w:t>
            </w:r>
          </w:p>
        </w:tc>
        <w:tc>
          <w:tcPr>
            <w:tcW w:w="2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lang w:eastAsia="es-BO"/>
              </w:rPr>
            </w:pPr>
            <w:r>
              <w:rPr>
                <w:rFonts w:cs="Tahoma" w:ascii="Verdana" w:hAnsi="Verdana"/>
                <w:color w:val="C00000"/>
              </w:rPr>
              <w:t>SURICHATA</w:t>
            </w:r>
          </w:p>
        </w:tc>
        <w:tc>
          <w:tcPr>
            <w:tcW w:w="1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6.5 KM</w:t>
            </w:r>
          </w:p>
        </w:tc>
        <w:tc>
          <w:tcPr>
            <w:tcW w:w="19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15 MINT.</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
                <w:b/>
                <w:bCs/>
                <w:color w:val="C00000"/>
                <w:lang w:eastAsia="es-BO"/>
              </w:rPr>
            </w:pPr>
            <w:r>
              <w:rPr>
                <w:rFonts w:cs="Tahoma" w:ascii="Verdana" w:hAnsi="Verdana"/>
                <w:color w:val="C00000"/>
              </w:rPr>
              <w:t>SAYACA</w:t>
            </w:r>
          </w:p>
        </w:tc>
        <w:tc>
          <w:tcPr>
            <w:tcW w:w="2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CHOQUE CHAMBI AYLLU MAÑU</w:t>
            </w:r>
          </w:p>
        </w:tc>
        <w:tc>
          <w:tcPr>
            <w:tcW w:w="1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10 KM</w:t>
            </w:r>
          </w:p>
        </w:tc>
        <w:tc>
          <w:tcPr>
            <w:tcW w:w="19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20 MINT.</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Tierra</w:t>
            </w:r>
          </w:p>
        </w:tc>
      </w:tr>
    </w:tbl>
    <w:p>
      <w:pPr>
        <w:pStyle w:val="ListParagraph"/>
        <w:widowControl w:val="false"/>
        <w:numPr>
          <w:ilvl w:val="0"/>
          <w:numId w:val="46"/>
        </w:numPr>
        <w:rPr>
          <w:rFonts w:ascii="Tahoma" w:hAnsi="Tahoma" w:cs="Tahoma"/>
          <w:bCs/>
          <w:i/>
          <w:i/>
          <w:iCs/>
        </w:rPr>
      </w:pPr>
      <w:bookmarkStart w:id="44" w:name="_Toc49530406"/>
      <w:bookmarkStart w:id="45" w:name="_Toc100250568"/>
      <w:bookmarkStart w:id="46"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44"/>
      <w:bookmarkEnd w:id="45"/>
      <w:bookmarkEnd w:id="46"/>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TINGUIPAYA</w:t>
      </w:r>
      <w:r>
        <w:rPr>
          <w:rFonts w:cs="Tahoma" w:ascii="Tahoma" w:hAnsi="Tahoma"/>
          <w:b/>
        </w:rPr>
        <w:t xml:space="preserve"> – FASE (</w:t>
      </w:r>
      <w:r>
        <w:rPr>
          <w:rFonts w:cs="Tahoma" w:ascii="Tahoma" w:hAnsi="Tahoma"/>
          <w:b/>
          <w:color w:val="FF0000"/>
        </w:rPr>
        <w:t>XII</w:t>
      </w:r>
      <w:r>
        <w:rPr>
          <w:rFonts w:cs="Tahoma" w:ascii="Tahoma" w:hAnsi="Tahoma"/>
          <w:b/>
        </w:rPr>
        <w:t xml:space="preserve">)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7"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80</w:t>
      </w:r>
      <w:r>
        <w:rPr>
          <w:rFonts w:cs="Tahoma" w:ascii="Tahoma" w:hAnsi="Tahoma"/>
          <w:lang w:val="es-ES_tradnl"/>
        </w:rPr>
        <w:t xml:space="preserve"> beneficiarios emitidos por Derechos Reales, correspondientes al presente proyecto.</w:t>
      </w:r>
      <w:bookmarkEnd w:id="47"/>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8" w:name="_Toc71811150"/>
      <w:r>
        <w:rPr>
          <w:rFonts w:cs="Tahoma" w:ascii="Tahoma" w:hAnsi="Tahoma"/>
          <w:b/>
          <w:bCs/>
          <w:color w:val="000000"/>
          <w:kern w:val="2"/>
          <w:lang w:val="es-ES_tradnl"/>
        </w:rPr>
        <w:t>ALCANCE DE LA CONSULTORÍA.</w:t>
      </w:r>
      <w:bookmarkEnd w:id="48"/>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9" w:name="_Hlk170288552"/>
      <w:r>
        <w:rPr>
          <w:rFonts w:cs="Tahoma" w:ascii="Tahoma" w:hAnsi="Tahoma"/>
          <w:b/>
          <w:color w:val="000000"/>
          <w:lang w:val="es-ES_tradnl"/>
        </w:rPr>
        <w:t>- SELECCIÓN DE BENEFICIARIOS</w:t>
      </w:r>
    </w:p>
    <w:p>
      <w:pPr>
        <w:pStyle w:val="Normal"/>
        <w:numPr>
          <w:ilvl w:val="0"/>
          <w:numId w:val="75"/>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5"/>
        </w:numPr>
        <w:spacing w:lineRule="auto" w:line="300"/>
        <w:ind w:left="284" w:hanging="360"/>
        <w:jc w:val="both"/>
        <w:rPr>
          <w:rFonts w:ascii="Tahoma" w:hAnsi="Tahoma" w:cs="Tahoma"/>
          <w:highlight w:val="green"/>
          <w:lang w:val="es-ES_tradnl"/>
        </w:rPr>
      </w:pPr>
      <w:bookmarkStart w:id="50" w:name="_Hlk179540628"/>
      <w:r>
        <w:rPr>
          <w:rFonts w:cs="Tahoma" w:ascii="Tahoma" w:hAnsi="Tahoma"/>
          <w:highlight w:val="green"/>
          <w:lang w:val="es-ES_tradnl"/>
        </w:rPr>
        <w:t xml:space="preserve">En el plazo establecido la Entidad Ejecutora deberá realizar la </w:t>
      </w:r>
      <w:r>
        <w:rPr>
          <w:rFonts w:cs="Tahoma" w:ascii="Tahoma" w:hAnsi="Tahoma"/>
          <w:b/>
          <w:highlight w:val="green"/>
          <w:lang w:val="es-ES_tradnl"/>
        </w:rPr>
        <w:t>socialización y evaluación</w:t>
      </w:r>
      <w:r>
        <w:rPr>
          <w:rFonts w:cs="Tahoma" w:ascii="Tahoma" w:hAnsi="Tahoma"/>
          <w:highlight w:val="green"/>
          <w:lang w:val="es-ES_tradnl"/>
        </w:rPr>
        <w:t xml:space="preserve"> a los solicitantes en la Zona de intervención, </w:t>
      </w:r>
      <w:r>
        <w:rPr>
          <w:rFonts w:cs="Tahoma" w:ascii="Tahoma" w:hAnsi="Tahoma"/>
          <w:b/>
          <w:highlight w:val="green"/>
          <w:lang w:val="es-ES_tradnl"/>
        </w:rPr>
        <w:t>de manera conjunta</w:t>
      </w:r>
      <w:r>
        <w:rPr>
          <w:rFonts w:cs="Tahoma" w:ascii="Tahoma" w:hAnsi="Tahoma"/>
          <w:highlight w:val="green"/>
          <w:lang w:val="es-ES_tradnl"/>
        </w:rPr>
        <w:t xml:space="preserve"> con la AEVIVIENDA, de acuerdo a normativa vigente referida a </w:t>
      </w:r>
      <w:r>
        <w:rPr>
          <w:rFonts w:cs="Tahoma" w:ascii="Tahoma" w:hAnsi="Tahoma"/>
          <w:b/>
          <w:highlight w:val="green"/>
          <w:u w:val="single"/>
          <w:lang w:val="es-ES_tradnl"/>
        </w:rPr>
        <w:t>SELECCIÓN DE BENEFICIARIOS</w:t>
      </w:r>
      <w:r>
        <w:rPr>
          <w:rFonts w:cs="Tahoma" w:ascii="Tahoma" w:hAnsi="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0"/>
    </w:p>
    <w:p>
      <w:pPr>
        <w:pStyle w:val="Normal"/>
        <w:numPr>
          <w:ilvl w:val="0"/>
          <w:numId w:val="75"/>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5"/>
        </w:numPr>
        <w:spacing w:lineRule="auto" w:line="300"/>
        <w:ind w:left="284" w:hanging="360"/>
        <w:jc w:val="both"/>
        <w:rPr>
          <w:rFonts w:ascii="Tahoma" w:hAnsi="Tahoma" w:cs="Tahoma"/>
          <w:lang w:val="es-ES_tradnl"/>
        </w:rPr>
      </w:pPr>
      <w:bookmarkStart w:id="51"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1"/>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2" w:name="_Hlk170292260"/>
      <w:bookmarkStart w:id="53" w:name="_Hlk170292239"/>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3"/>
      <w:r>
        <w:rPr>
          <w:rFonts w:cs="Tahoma" w:ascii="Tahoma" w:hAnsi="Tahoma"/>
          <w:lang w:val="es-ES_tradnl"/>
        </w:rPr>
        <w:t>de no Propiedad previo a la ejecución física de la obra.</w:t>
      </w:r>
      <w:bookmarkEnd w:id="52"/>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4" w:name="_Hlk179540707"/>
      <w:bookmarkEnd w:id="54"/>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5"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5"/>
      <w:r>
        <w:rPr>
          <w:rFonts w:cs="Tahoma" w:ascii="Tahoma" w:hAnsi="Tahoma"/>
          <w:lang w:val="es-ES_tradnl"/>
        </w:rPr>
        <w:t>, mediante visitas al sitio, aprobado por el Inspector</w:t>
      </w:r>
      <w:bookmarkStart w:id="56" w:name="_Hlk113371329"/>
      <w:r>
        <w:rPr>
          <w:rFonts w:cs="Tahoma" w:ascii="Tahoma" w:hAnsi="Tahoma"/>
          <w:lang w:val="es-ES_tradnl"/>
        </w:rPr>
        <w:t xml:space="preserve"> y validado por el Fiscal del Proyecto, previo acompañamiento.</w:t>
      </w:r>
      <w:bookmarkEnd w:id="56"/>
    </w:p>
    <w:p>
      <w:pPr>
        <w:pStyle w:val="ListParagraph"/>
        <w:widowControl w:val="false"/>
        <w:numPr>
          <w:ilvl w:val="0"/>
          <w:numId w:val="49"/>
        </w:numPr>
        <w:ind w:left="284" w:hanging="283"/>
        <w:jc w:val="both"/>
        <w:rPr>
          <w:rFonts w:ascii="Tahoma" w:hAnsi="Tahoma" w:cs="Tahoma"/>
          <w:lang w:val="es-ES_tradnl"/>
        </w:rPr>
      </w:pPr>
      <w:bookmarkStart w:id="57" w:name="_Hlk179540707"/>
      <w:bookmarkStart w:id="58" w:name="_Hlk146287105"/>
      <w:bookmarkStart w:id="59" w:name="_Hlk146287826"/>
      <w:bookmarkEnd w:id="57"/>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8"/>
      <w:bookmarkEnd w:id="59"/>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60" w:name="_Hlk145577011"/>
      <w:bookmarkStart w:id="61"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0"/>
      <w:bookmarkEnd w:id="61"/>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62"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3" w:name="_Hlk126076662"/>
      <w:r>
        <w:rPr>
          <w:rFonts w:cs="Tahoma" w:ascii="Tahoma" w:hAnsi="Tahoma"/>
          <w:lang w:val="es-ES_tradnl"/>
        </w:rPr>
        <w:t xml:space="preserve">en la implantación de </w:t>
      </w:r>
      <w:bookmarkEnd w:id="63"/>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2"/>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5"/>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4" w:name="_Hlk158992379"/>
      <w:r>
        <w:rPr>
          <w:rFonts w:cs="Tahoma" w:ascii="Tahoma" w:hAnsi="Tahoma"/>
          <w:lang w:val="es-ES_tradnl"/>
        </w:rPr>
        <w:t>incumplimiento de aporte propio, a la tercera notificación de incumplimiento.</w:t>
      </w:r>
      <w:bookmarkEnd w:id="64"/>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5"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5"/>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2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2"/>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6" w:name="_Hlk126076967"/>
      <w:r>
        <w:rPr>
          <w:rFonts w:cs="Tahoma" w:ascii="Tahoma" w:hAnsi="Tahoma"/>
          <w:color w:val="000000"/>
          <w:lang w:val="es-ES_tradnl"/>
        </w:rPr>
        <w:t xml:space="preserve">cantidades asignadas </w:t>
      </w:r>
      <w:bookmarkEnd w:id="66"/>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7" w:name="_Toc71811151"/>
      <w:r>
        <w:rPr>
          <w:rFonts w:cs="Tahoma" w:ascii="Tahoma" w:hAnsi="Tahoma"/>
          <w:b/>
          <w:bCs/>
          <w:color w:val="000000"/>
          <w:kern w:val="2"/>
          <w:lang w:val="es-ES_tradnl"/>
        </w:rPr>
        <w:t>FASES DE LA CONSULTORÍA.</w:t>
      </w:r>
      <w:bookmarkEnd w:id="67"/>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54692FB3">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54692FB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2D4096C6">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2D4096C6"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5F9B88F3">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5F9B88F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65CF1C47">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65CF1C47"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2BD7AE44">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BD7AE4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bookmarkStart w:id="68" w:name="_Hlk164185315"/>
      <w:r>
        <w:rPr>
          <w:rFonts w:cs="Tahoma" w:ascii="Tahoma" w:hAnsi="Tahoma"/>
        </w:rPr>
        <w:t>Gestión y presentación de los Certificados de no Propiedad a nivel nacional de los beneficiarios del proyecto.</w:t>
      </w:r>
      <w:bookmarkEnd w:id="68"/>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documentación de almacenes ordenada y cerrada; Kardex de Ingreso y Salida de Materiales de Construcción.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9" w:name="_Toc71811152"/>
      <w:r>
        <w:rPr>
          <w:rFonts w:cs="Tahoma" w:ascii="Tahoma" w:hAnsi="Tahoma"/>
          <w:b/>
          <w:bCs/>
          <w:color w:val="000000"/>
          <w:kern w:val="2"/>
          <w:lang w:val="es-ES_tradnl"/>
        </w:rPr>
        <w:t>PLAZO DE EJECUCIÓN DE LA CONSULTORÍA</w:t>
      </w:r>
      <w:bookmarkEnd w:id="69"/>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150 (Ciento Cincuenta)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0" w:name="_Toc71811153"/>
      <w:r>
        <w:rPr>
          <w:rFonts w:cs="Tahoma" w:ascii="Tahoma" w:hAnsi="Tahoma"/>
          <w:b/>
          <w:bCs/>
          <w:color w:val="000000"/>
          <w:kern w:val="2"/>
          <w:lang w:val="es-ES_tradnl"/>
        </w:rPr>
        <w:t>CRONOGRAMA DE PLAZOS DE LA CONSULTORÍA</w:t>
      </w:r>
      <w:bookmarkEnd w:id="70"/>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1"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1"/>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2" w:name="_Hlk179541938"/>
            <w:bookmarkEnd w:id="72"/>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30 </w:t>
            </w:r>
            <w:r>
              <w:rPr>
                <w:rFonts w:cs="Tahoma" w:ascii="Tahoma" w:hAnsi="Tahoma"/>
                <w:color w:val="FF0000"/>
                <w:sz w:val="16"/>
                <w:szCs w:val="16"/>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53D613B1">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53D613B1"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5B96CEF1">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0D7B98E1">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31BCCA9F">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31BCCA9F"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1D413934">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1290A132">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273CF8C4">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273CF8C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7152C00C">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6BADC9EB">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6BADC9EB"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3F194BDB">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70B78255">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70B78255">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3" w:name="_Hlk179541938"/>
            <w:bookmarkStart w:id="74" w:name="_Hlk179541938"/>
            <w:bookmarkEnd w:id="74"/>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bookmarkStart w:id="75" w:name="_Hlk179541326"/>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highlight w:val="yellow"/>
          <w:lang w:val="es-ES_tradnl"/>
        </w:rPr>
      </w:pPr>
      <w:bookmarkStart w:id="76" w:name="_Hlk164185058"/>
      <w:bookmarkStart w:id="77" w:name="_Hlk170197918"/>
      <w:bookmarkEnd w:id="76"/>
      <w:r>
        <w:rPr>
          <w:rFonts w:cs="Tahoma" w:ascii="Tahoma" w:hAnsi="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8"/>
        </w:numPr>
        <w:spacing w:lineRule="atLeast" w:line="240"/>
        <w:ind w:left="426" w:hanging="360"/>
        <w:jc w:val="both"/>
        <w:rPr>
          <w:rFonts w:ascii="Tahoma" w:hAnsi="Tahoma" w:cs="Tahoma"/>
          <w:lang w:val="es-ES_tradnl"/>
        </w:rPr>
      </w:pPr>
      <w:bookmarkStart w:id="78" w:name="_Hlk179541326"/>
      <w:bookmarkStart w:id="79"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8"/>
      <w:bookmarkEnd w:id="79"/>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80" w:name="_Hlk164185058"/>
      <w:bookmarkStart w:id="81" w:name="_Hlk179541991"/>
      <w:bookmarkEnd w:id="80"/>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2" w:name="_Toc71811154"/>
      <w:bookmarkStart w:id="83"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1"/>
      <w:bookmarkEnd w:id="83"/>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4" w:name="_Toc71811154"/>
      <w:r>
        <w:rPr>
          <w:rFonts w:cs="Tahoma" w:ascii="Tahoma" w:hAnsi="Tahoma"/>
          <w:b/>
          <w:bCs/>
          <w:color w:val="000000"/>
          <w:kern w:val="2"/>
          <w:lang w:val="es-ES_tradnl"/>
        </w:rPr>
        <w:t>PRECIO REFERENCIAL</w:t>
      </w:r>
      <w:bookmarkEnd w:id="84"/>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3.019.444,44 (Tres Millones Diecinueve Mil Cuatrocientos Cuarenta y Cuatro 44/100 bolivianos)</w:t>
      </w:r>
      <w:r>
        <w:rPr>
          <w:rFonts w:cs="Tahoma" w:ascii="Tahoma" w:hAnsi="Tahoma"/>
          <w:b/>
          <w:color w:val="FF0000"/>
        </w:rPr>
        <w:t>.</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5" w:name="_Toc71811155"/>
      <w:r>
        <w:rPr>
          <w:rFonts w:cs="Tahoma" w:ascii="Tahoma" w:hAnsi="Tahoma"/>
          <w:b/>
          <w:bCs/>
          <w:color w:val="000000"/>
          <w:kern w:val="2"/>
          <w:lang w:val="es-ES_tradnl"/>
        </w:rPr>
        <w:t>FORMA DE PAGO.</w:t>
      </w:r>
      <w:bookmarkEnd w:id="85"/>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364"/>
        <w:gridCol w:w="1635"/>
        <w:gridCol w:w="2692"/>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7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63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69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63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69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63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69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47.152,68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1.273.958,81</w:t>
            </w:r>
          </w:p>
        </w:tc>
        <w:tc>
          <w:tcPr>
            <w:tcW w:w="1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lang w:eastAsia="es-ES"/>
              </w:rPr>
            </w:pPr>
            <w:r>
              <w:rPr>
                <w:rFonts w:cs="Calibri" w:ascii="Calibri" w:hAnsi="Calibri"/>
                <w:b/>
                <w:color w:val="FF0000"/>
              </w:rPr>
              <w:t>1.321.111,49</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94.305,36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1.273.958,81</w:t>
            </w:r>
          </w:p>
        </w:tc>
        <w:tc>
          <w:tcPr>
            <w:tcW w:w="1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rPr>
            </w:pPr>
            <w:r>
              <w:rPr>
                <w:rFonts w:cs="Calibri" w:ascii="Calibri" w:hAnsi="Calibri"/>
                <w:b/>
                <w:color w:val="FF0000"/>
              </w:rPr>
              <w:t>1.368.264,17</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94.305,36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rPr>
            </w:pPr>
            <w:r>
              <w:rPr>
                <w:rFonts w:cs="Calibri" w:ascii="Calibri" w:hAnsi="Calibri"/>
                <w:b/>
                <w:color w:val="FF0000"/>
              </w:rPr>
              <w:t>94.305,36</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235.763,42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rPr>
            </w:pPr>
            <w:r>
              <w:rPr>
                <w:rFonts w:cs="Calibri" w:ascii="Calibri" w:hAnsi="Calibri"/>
                <w:b/>
                <w:color w:val="FF0000"/>
              </w:rPr>
              <w:t>235.763,42</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471.526,82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2.547.917,62</w:t>
            </w:r>
          </w:p>
        </w:tc>
        <w:tc>
          <w:tcPr>
            <w:tcW w:w="163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FF0000"/>
              </w:rPr>
              <w:t>3.019.444,44</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6" w:name="_Toc71811156"/>
      <w:r>
        <w:rPr>
          <w:rFonts w:cs="Tahoma" w:ascii="Tahoma" w:hAnsi="Tahoma"/>
          <w:b/>
          <w:bCs/>
          <w:color w:val="000000"/>
          <w:kern w:val="2"/>
          <w:lang w:val="es-ES_tradnl"/>
        </w:rPr>
        <w:t>SEGUROS</w:t>
      </w:r>
      <w:bookmarkEnd w:id="86"/>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7" w:name="_Hlk144978880"/>
      <w:r>
        <w:rPr>
          <w:rFonts w:cs="Tahoma" w:ascii="Tahoma" w:hAnsi="Tahoma"/>
          <w:lang w:eastAsia="es-BO"/>
        </w:rPr>
        <w:t xml:space="preserve">hábiles </w:t>
      </w:r>
      <w:bookmarkEnd w:id="87"/>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8" w:name="_Toc71811157"/>
      <w:r>
        <w:rPr>
          <w:rFonts w:cs="Tahoma" w:ascii="Tahoma" w:hAnsi="Tahoma"/>
          <w:b/>
          <w:bCs/>
          <w:color w:val="000000"/>
          <w:kern w:val="2"/>
          <w:lang w:val="es-ES_tradnl"/>
        </w:rPr>
        <w:t>PAGO DE IMPUESTOS</w:t>
      </w:r>
      <w:bookmarkEnd w:id="88"/>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9" w:name="_Toc71811158"/>
      <w:r>
        <w:rPr>
          <w:rFonts w:cs="Tahoma" w:ascii="Tahoma" w:hAnsi="Tahoma"/>
          <w:b/>
          <w:bCs/>
          <w:color w:val="000000"/>
          <w:kern w:val="2"/>
          <w:lang w:val="es-ES_tradnl"/>
        </w:rPr>
        <w:t>APORTES AL SISTEMA INTEGRADO DE PENSIONES</w:t>
      </w:r>
      <w:bookmarkEnd w:id="89"/>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0" w:name="_Hlk132898907"/>
      <w:bookmarkEnd w:id="90"/>
      <w:r>
        <w:rPr>
          <w:rFonts w:cs="Tahoma" w:ascii="Tahoma" w:hAnsi="Tahoma"/>
          <w:b/>
          <w:bCs/>
          <w:color w:val="000000"/>
          <w:kern w:val="2"/>
          <w:lang w:val="es-ES_tradnl"/>
        </w:rPr>
        <w:t>GARANTÍAS</w:t>
      </w:r>
    </w:p>
    <w:p>
      <w:pPr>
        <w:pStyle w:val="Normal"/>
        <w:jc w:val="both"/>
        <w:rPr>
          <w:rFonts w:ascii="Tahoma" w:hAnsi="Tahoma" w:cs="Tahoma"/>
          <w:lang w:val="es-ES_tradnl"/>
        </w:rPr>
      </w:pPr>
      <w:bookmarkStart w:id="91" w:name="_Hlk132898907"/>
      <w:bookmarkStart w:id="92" w:name="_Toc81314437"/>
      <w:bookmarkStart w:id="93" w:name="_Hlk179541408"/>
      <w:bookmarkStart w:id="94" w:name="_Toc81229595"/>
      <w:bookmarkEnd w:id="91"/>
      <w:bookmarkEnd w:id="93"/>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5" w:name="_Hlk127960441"/>
      <w:r>
        <w:rPr>
          <w:rFonts w:cs="Tahoma" w:ascii="Tahoma" w:hAnsi="Tahoma"/>
          <w:lang w:eastAsia="es-BO"/>
        </w:rPr>
        <w:t xml:space="preserve">se establece las </w:t>
      </w:r>
      <w:bookmarkEnd w:id="92"/>
      <w:bookmarkEnd w:id="94"/>
      <w:bookmarkEnd w:id="95"/>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6" w:name="_Hlk179541408"/>
      <w:bookmarkStart w:id="97" w:name="_Toc81314438"/>
      <w:bookmarkStart w:id="98" w:name="_Toc100250575"/>
      <w:bookmarkEnd w:id="96"/>
      <w:r>
        <w:rPr>
          <w:rFonts w:cs="Tahoma" w:ascii="Tahoma" w:hAnsi="Tahoma"/>
          <w:b/>
          <w:lang w:val="es-ES_tradnl"/>
        </w:rPr>
        <w:t>GARANTÍA DE SERIEDAD DE PROPUESTA:</w:t>
      </w:r>
      <w:bookmarkEnd w:id="97"/>
      <w:bookmarkEnd w:id="98"/>
    </w:p>
    <w:p>
      <w:pPr>
        <w:pStyle w:val="Normal"/>
        <w:spacing w:lineRule="atLeast" w:line="260"/>
        <w:jc w:val="both"/>
        <w:rPr>
          <w:rFonts w:ascii="Tahoma" w:hAnsi="Tahoma" w:cs="Tahoma"/>
          <w:lang w:eastAsia="es-BO"/>
        </w:rPr>
      </w:pPr>
      <w:bookmarkStart w:id="99" w:name="_Toc81314439"/>
      <w:bookmarkStart w:id="100" w:name="_Toc81229597"/>
      <w:bookmarkEnd w:id="99"/>
      <w:bookmarkEnd w:id="100"/>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1" w:name="_Hlk144978940"/>
      <w:r>
        <w:rPr>
          <w:rFonts w:cs="Tahoma" w:ascii="Tahoma" w:hAnsi="Tahoma"/>
          <w:lang w:eastAsia="es-BO"/>
        </w:rPr>
        <w:t xml:space="preserve">cero punto cinco por ciento (0.5%) </w:t>
      </w:r>
      <w:bookmarkEnd w:id="101"/>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2" w:name="_Toc81314439"/>
      <w:bookmarkStart w:id="103" w:name="_Toc81229597"/>
      <w:bookmarkStart w:id="104" w:name="_Toc81314440"/>
      <w:bookmarkStart w:id="105" w:name="_Toc81229598"/>
      <w:bookmarkEnd w:id="102"/>
      <w:bookmarkEnd w:id="103"/>
      <w:r>
        <w:rPr>
          <w:rFonts w:cs="Tahoma" w:ascii="Tahoma" w:hAnsi="Tahoma"/>
          <w:lang w:eastAsia="es-BO"/>
        </w:rPr>
        <w:t xml:space="preserve">La vigencia de esta garantía deberá tener noventa (90) días calendario a partir de la apertura de la propuesta establecida en el DCD. </w:t>
      </w:r>
      <w:bookmarkEnd w:id="104"/>
      <w:bookmarkEnd w:id="105"/>
    </w:p>
    <w:p>
      <w:pPr>
        <w:pStyle w:val="Normal"/>
        <w:spacing w:lineRule="atLeast" w:line="260"/>
        <w:jc w:val="both"/>
        <w:rPr>
          <w:rFonts w:ascii="Tahoma" w:hAnsi="Tahoma" w:cs="Tahoma"/>
          <w:lang w:eastAsia="es-BO"/>
        </w:rPr>
      </w:pPr>
      <w:bookmarkStart w:id="106" w:name="_Toc81229599"/>
      <w:bookmarkStart w:id="107" w:name="_Toc81314441"/>
      <w:r>
        <w:rPr>
          <w:rFonts w:cs="Tahoma" w:ascii="Tahoma" w:hAnsi="Tahoma"/>
          <w:lang w:eastAsia="es-BO"/>
        </w:rPr>
        <w:t>La Garantía de Seriedad de Propuesta será devuelta conforme a lo establecido en el DCD.</w:t>
      </w:r>
      <w:bookmarkEnd w:id="106"/>
      <w:bookmarkEnd w:id="107"/>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8" w:name="_Toc71811161"/>
      <w:r>
        <w:rPr>
          <w:rFonts w:cs="Tahoma" w:ascii="Tahoma" w:hAnsi="Tahoma"/>
          <w:b/>
          <w:bCs/>
          <w:color w:val="000000"/>
          <w:kern w:val="2"/>
          <w:lang w:val="es-ES_tradnl"/>
        </w:rPr>
        <w:t>GARANTÍA DE CUMPLIMIENTO DE CONTRATO</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9" w:name="_Hlk144978977"/>
      <w:r>
        <w:rPr>
          <w:rFonts w:eastAsia="Calibri" w:cs="Tahoma" w:ascii="Tahoma" w:hAnsi="Tahoma"/>
          <w:lang w:eastAsia="es-BO"/>
        </w:rPr>
        <w:t>La garantía, será devuelta a la Entidad Ejecutora, una vez que se cuente con el pago final del servicio de consultoría</w:t>
      </w:r>
      <w:bookmarkEnd w:id="109"/>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10"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1"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1"/>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2" w:name="_Toc71811159"/>
      <w:r>
        <w:rPr>
          <w:rFonts w:cs="Tahoma" w:ascii="Tahoma" w:hAnsi="Tahoma"/>
          <w:b/>
          <w:bCs/>
          <w:color w:val="000000"/>
          <w:kern w:val="2"/>
          <w:lang w:val="es-ES_tradnl"/>
        </w:rPr>
        <w:t>GARANTÍA DE CORRECTA INVERSIÓN DE ANTICIPO PARA EL COMPONENTE DE PROVISIÓN/DOTACIÓN DE MATERIALES DE CONSTRUCCIÓN</w:t>
      </w:r>
      <w:bookmarkEnd w:id="112"/>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3"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3"/>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4" w:name="_Toc71811160"/>
      <w:r>
        <w:rPr>
          <w:rFonts w:cs="Tahoma" w:ascii="Tahoma" w:hAnsi="Tahoma"/>
          <w:b/>
          <w:bCs/>
          <w:color w:val="000000"/>
          <w:kern w:val="2"/>
          <w:lang w:val="es-ES_tradnl"/>
        </w:rPr>
        <w:t>LIBERACIÓN DE GARANTÍA DE ANTICIPO</w:t>
      </w:r>
      <w:bookmarkEnd w:id="114"/>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5" w:name="_Toc71811162"/>
      <w:r>
        <w:rPr>
          <w:rFonts w:cs="Tahoma" w:ascii="Tahoma" w:hAnsi="Tahoma"/>
          <w:b/>
          <w:bCs/>
          <w:color w:val="000000"/>
          <w:kern w:val="2"/>
          <w:lang w:val="es-ES_tradnl"/>
        </w:rPr>
        <w:t>MULTAS</w:t>
      </w:r>
      <w:bookmarkEnd w:id="115"/>
      <w:r>
        <w:rPr>
          <w:rFonts w:cs="Tahoma" w:ascii="Tahoma" w:hAnsi="Tahoma"/>
          <w:b/>
          <w:bCs/>
          <w:color w:val="000000"/>
          <w:kern w:val="2"/>
          <w:lang w:val="es-ES_tradnl"/>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16"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7"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7"/>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18" w:name="_Hlk170235409"/>
      <w:bookmarkStart w:id="119" w:name="_Hlk118650022"/>
      <w:r>
        <w:rPr>
          <w:rFonts w:cs="Tahoma" w:ascii="Tahoma" w:hAnsi="Tahoma"/>
          <w:lang w:val="es-ES_tradnl"/>
        </w:rPr>
        <w:t xml:space="preserve">Cuando la Entidad Ejecutora contratada, retrase, incumpla o </w:t>
      </w:r>
      <w:bookmarkStart w:id="120" w:name="_Hlk144979071"/>
      <w:r>
        <w:rPr>
          <w:rFonts w:cs="Tahoma" w:ascii="Tahoma" w:hAnsi="Tahoma"/>
          <w:lang w:val="es-ES_tradnl"/>
        </w:rPr>
        <w:t xml:space="preserve">no se encuentre en obra </w:t>
      </w:r>
      <w:bookmarkEnd w:id="120"/>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8"/>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5"/>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9"/>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21"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1"/>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2" w:name="_Hlk144979166"/>
      <w:bookmarkStart w:id="123"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24" w:name="_Hlk144979166"/>
      <w:r>
        <w:rPr>
          <w:rFonts w:eastAsia="Calibri" w:cs="Tahoma" w:ascii="Tahoma" w:hAnsi="Tahoma"/>
          <w:b/>
          <w:iCs/>
        </w:rPr>
        <w:t>Resolución de Contrato:</w:t>
      </w:r>
      <w:bookmarkEnd w:id="124"/>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25" w:name="_Toc71811163"/>
      <w:r>
        <w:rPr>
          <w:rFonts w:cs="Tahoma" w:ascii="Tahoma" w:hAnsi="Tahoma"/>
          <w:b/>
          <w:bCs/>
          <w:color w:val="000000"/>
          <w:kern w:val="2"/>
          <w:lang w:val="es-ES_tradnl"/>
        </w:rPr>
        <w:t>MODIFICACIONES AL CONTRATO</w:t>
      </w:r>
      <w:bookmarkEnd w:id="125"/>
    </w:p>
    <w:p>
      <w:pPr>
        <w:pStyle w:val="Normal"/>
        <w:numPr>
          <w:ilvl w:val="0"/>
          <w:numId w:val="64"/>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6" w:name="_Hlk179542202"/>
      <w:r>
        <w:rPr>
          <w:rFonts w:cs="Tahoma" w:ascii="Tahoma" w:hAnsi="Tahoma"/>
          <w:lang w:val="es-ES_tradnl"/>
        </w:rPr>
        <w:t>La Orden de Cambio podrá presentarse hasta 10 días calendario antes de la recepción provisional del proyecto.</w:t>
      </w:r>
      <w:bookmarkEnd w:id="126"/>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7"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7"/>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8"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9" w:name="_Hlk144979257"/>
      <w:r>
        <w:rPr>
          <w:rFonts w:cs="Tahoma" w:ascii="Tahoma" w:hAnsi="Tahoma"/>
          <w:lang w:val="es-ES_tradnl"/>
        </w:rPr>
        <w:t>El contrato modificatorio podrá presentarse hasta 10 días calendario antes de la recepción provisional del proyecto.</w:t>
      </w:r>
      <w:bookmarkEnd w:id="129"/>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0" w:name="_Hlk144979275"/>
      <w:r>
        <w:rPr>
          <w:rFonts w:cs="Tahoma" w:ascii="Tahoma" w:hAnsi="Tahoma"/>
          <w:color w:val="000000"/>
        </w:rPr>
        <w:t xml:space="preserve">directa </w:t>
      </w:r>
      <w:bookmarkEnd w:id="130"/>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31" w:name="_Toc71811164"/>
      <w:r>
        <w:rPr>
          <w:rFonts w:cs="Tahoma" w:ascii="Tahoma" w:hAnsi="Tahoma"/>
          <w:b/>
          <w:bCs/>
          <w:color w:val="000000"/>
          <w:kern w:val="2"/>
          <w:lang w:val="es-ES_tradnl"/>
        </w:rPr>
        <w:t>INFORMES / PRODUCTOS ESPERADOS:</w:t>
      </w:r>
      <w:bookmarkEnd w:id="131"/>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lang w:val="es-ES_tradnl"/>
        </w:rPr>
      </w:pPr>
      <w:bookmarkStart w:id="132"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2"/>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sz w:val="18"/>
          <w:szCs w:val="18"/>
          <w:lang w:val="es-ES_tradnl"/>
        </w:rPr>
      </w:pPr>
      <w:bookmarkStart w:id="133" w:name="_Hlk170288826"/>
      <w:bookmarkEnd w:id="133"/>
      <w:r>
        <w:rPr>
          <w:rFonts w:cs="Tahoma" w:ascii="Tahoma" w:hAnsi="Tahoma"/>
          <w:lang w:val="es-ES_tradnl"/>
        </w:rPr>
        <w:t>Nota de Consolidación de la lista de Beneficiarios emitida por la AEVIVIENDA (copia simple).</w:t>
      </w:r>
    </w:p>
    <w:p>
      <w:pPr>
        <w:pStyle w:val="Normal"/>
        <w:numPr>
          <w:ilvl w:val="0"/>
          <w:numId w:val="53"/>
        </w:numPr>
        <w:spacing w:lineRule="atLeast" w:line="260"/>
        <w:ind w:left="426" w:hanging="425"/>
        <w:jc w:val="both"/>
        <w:rPr>
          <w:rFonts w:ascii="Tahoma" w:hAnsi="Tahoma" w:cs="Tahoma"/>
          <w:lang w:val="es-ES_tradnl"/>
        </w:rPr>
      </w:pPr>
      <w:bookmarkStart w:id="134" w:name="_Hlk170288826"/>
      <w:bookmarkStart w:id="135" w:name="_Hlk126939647"/>
      <w:bookmarkEnd w:id="134"/>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5"/>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lang w:val="es-ES_tradnl" w:eastAsia="es-ES_tradnl"/>
        </w:rPr>
      </w:pPr>
      <w:bookmarkStart w:id="136" w:name="_Hlk179542285"/>
      <w:bookmarkStart w:id="137"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6"/>
      <w:bookmarkEnd w:id="137"/>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38"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8"/>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9" w:name="_Hlk158993206"/>
      <w:bookmarkStart w:id="140" w:name="_Hlk128047540"/>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1" w:name="_Hlk158887837"/>
      <w:r>
        <w:rPr>
          <w:rFonts w:cs="Tahoma" w:ascii="Tahoma" w:hAnsi="Tahoma"/>
          <w:color w:val="000000"/>
          <w:szCs w:val="16"/>
          <w:lang w:val="es-ES_tradnl"/>
        </w:rPr>
        <w:t>posteriores a la recepción de la solicitud</w:t>
      </w:r>
      <w:bookmarkEnd w:id="141"/>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9"/>
      <w:bookmarkEnd w:id="14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2"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2"/>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4"/>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4"/>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3" w:name="_Hlk146908551"/>
      <w:r>
        <w:rPr>
          <w:rFonts w:cs="Tahoma" w:ascii="Tahoma" w:hAnsi="Tahoma"/>
        </w:rPr>
        <w:t>Se debe mencionar que, una vez entregado el penúltimo producto se dará inicio al periodo contractual del plazo para el ultimo producto.</w:t>
      </w:r>
      <w:bookmarkEnd w:id="143"/>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4"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5"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6" w:name="_Hlk158887989"/>
      <w:bookmarkEnd w:id="145"/>
      <w:r>
        <w:rPr>
          <w:rFonts w:cs="Tahoma" w:ascii="Tahoma" w:hAnsi="Tahoma"/>
          <w:color w:val="000000"/>
          <w:szCs w:val="16"/>
          <w:lang w:val="es-ES_tradnl"/>
        </w:rPr>
        <w:t>posteriores a la recepción de la solicitud</w:t>
      </w:r>
      <w:bookmarkEnd w:id="146"/>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4"/>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bookmarkStart w:id="147" w:name="_Hlk117853558"/>
      <w:bookmarkEnd w:id="147"/>
      <w:r>
        <w:rPr>
          <w:rFonts w:cs="Tahoma" w:ascii="Tahoma" w:hAnsi="Tahoma"/>
          <w:szCs w:val="16"/>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lang w:val="es-ES_tradnl"/>
        </w:rPr>
      </w:pPr>
      <w:bookmarkStart w:id="148" w:name="_Hlk117853558"/>
      <w:bookmarkStart w:id="149" w:name="_Hlk117853529"/>
      <w:bookmarkEnd w:id="148"/>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9"/>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50" w:name="_Toc71811165"/>
      <w:bookmarkStart w:id="151" w:name="_Toc536520830"/>
      <w:r>
        <w:rPr>
          <w:rFonts w:cs="Tahoma" w:ascii="Tahoma" w:hAnsi="Tahoma"/>
          <w:b/>
          <w:bCs/>
          <w:color w:val="000000"/>
          <w:kern w:val="2"/>
          <w:lang w:val="es-ES_tradnl"/>
        </w:rPr>
        <w:t>PERFIL DEL PROPONENTE</w:t>
      </w:r>
      <w:bookmarkEnd w:id="150"/>
      <w:bookmarkEnd w:id="151"/>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2" w:name="_Toc71811166"/>
      <w:bookmarkStart w:id="153"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9"/>
        </w:numPr>
        <w:spacing w:lineRule="atLeast" w:line="260"/>
        <w:jc w:val="both"/>
        <w:rPr>
          <w:rFonts w:ascii="Tahoma" w:hAnsi="Tahoma" w:cs="Tahoma"/>
        </w:rPr>
      </w:pPr>
      <w:bookmarkStart w:id="154"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9"/>
        </w:numPr>
        <w:spacing w:lineRule="atLeast" w:line="260"/>
        <w:jc w:val="both"/>
        <w:rPr>
          <w:rFonts w:ascii="Tahoma" w:hAnsi="Tahoma" w:cs="Tahoma"/>
        </w:rPr>
      </w:pPr>
      <w:bookmarkStart w:id="155" w:name="_Hlk179960365"/>
      <w:r>
        <w:rPr>
          <w:rFonts w:cs="Tahoma" w:ascii="Tahoma" w:hAnsi="Tahoma"/>
        </w:rPr>
        <w:t xml:space="preserve">Para la experiencia con particulares, debe presentar Contrato notariado con documento de respaldo de conclusión. </w:t>
      </w:r>
      <w:bookmarkEnd w:id="155"/>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6" w:name="_Toc71811166"/>
      <w:bookmarkStart w:id="157" w:name="_Toc536520831"/>
      <w:r>
        <w:rPr>
          <w:rFonts w:cs="Tahoma" w:ascii="Tahoma" w:hAnsi="Tahoma"/>
          <w:b/>
          <w:bCs/>
          <w:color w:val="000000"/>
          <w:kern w:val="2"/>
          <w:lang w:val="es-ES_tradnl"/>
        </w:rPr>
        <w:t>PERSONAL REQUERIDO</w:t>
      </w:r>
      <w:bookmarkEnd w:id="156"/>
      <w:bookmarkEnd w:id="157"/>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8" w:name="_Hlk144979420"/>
      <w:bookmarkStart w:id="159" w:name="_Hlk144979420"/>
      <w:bookmarkEnd w:id="159"/>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bookmarkStart w:id="160"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61"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8"/>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8"/>
        </w:numPr>
        <w:jc w:val="both"/>
        <w:rPr>
          <w:rFonts w:ascii="Tahoma" w:hAnsi="Tahoma" w:cs="Tahoma"/>
          <w:i/>
          <w:i/>
          <w:iCs/>
          <w:sz w:val="18"/>
          <w:szCs w:val="18"/>
          <w:highlight w:val="green"/>
        </w:rPr>
      </w:pPr>
      <w:bookmarkStart w:id="162"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62"/>
      <w:bookmarkEnd w:id="161"/>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3" w:name="_Hlk179541676"/>
      <w:r>
        <w:rPr>
          <w:rFonts w:cs="Tahoma" w:ascii="Tahoma" w:hAnsi="Tahoma"/>
          <w:b/>
        </w:rPr>
        <w:t>(NO SE CONSIDERA COMO PERSONAL CLAVE)</w:t>
      </w:r>
      <w:bookmarkEnd w:id="163"/>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Constructor Especialista p/ instalación en materiales prefabricados</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Constructores especialistas en materiales prefabricados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FF0000"/>
                <w:highlight w:val="yellow"/>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4" w:name="_Hlk144979420"/>
            <w:bookmarkStart w:id="165" w:name="_Hlk144979420"/>
            <w:bookmarkEnd w:id="165"/>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6"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7" w:name="_Hlk179541717"/>
      <w:r>
        <w:rPr>
          <w:rFonts w:cs="Tahoma" w:ascii="Tahoma" w:hAnsi="Tahoma"/>
        </w:rPr>
        <w:t>debe anexar fotocopia de carnet de identidad y documentos de respaldos declarados en el formulario A-4.</w:t>
      </w:r>
      <w:bookmarkEnd w:id="167"/>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6"/>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8" w:name="_Hlk143872192"/>
      <w:r>
        <w:rPr>
          <w:rFonts w:cs="Tahoma" w:ascii="Tahoma" w:hAnsi="Tahoma"/>
        </w:rPr>
        <w:t>el reemplazante deberá tener un perfil igual o mayor al profesional ofertado en su propuesta.</w:t>
      </w:r>
      <w:bookmarkEnd w:id="168"/>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9" w:name="_Toc71811167"/>
      <w:bookmarkStart w:id="170" w:name="_Hlk170205284"/>
      <w:bookmarkStart w:id="171" w:name="_Hlk179542968"/>
      <w:bookmarkStart w:id="172" w:name="_Toc536520832"/>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3" w:name="_Hlk179909520"/>
      <w:r>
        <w:rPr>
          <w:rFonts w:cs="Tahoma" w:ascii="Tahoma" w:hAnsi="Tahoma"/>
        </w:rPr>
        <w:t xml:space="preserve">aprobado por el Inspector y validado por la AEVIVIENDA </w:t>
      </w:r>
      <w:bookmarkEnd w:id="173"/>
      <w:r>
        <w:rPr>
          <w:rFonts w:cs="Tahoma" w:ascii="Tahoma" w:hAnsi="Tahoma"/>
        </w:rPr>
        <w:t>y evitar que estos abandonen el proyecto.</w:t>
      </w:r>
      <w:bookmarkEnd w:id="171"/>
    </w:p>
    <w:p>
      <w:pPr>
        <w:pStyle w:val="Normal"/>
        <w:numPr>
          <w:ilvl w:val="0"/>
          <w:numId w:val="70"/>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70"/>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4" w:name="_Toc71811167"/>
      <w:bookmarkStart w:id="175" w:name="_Toc536520832"/>
      <w:r>
        <w:rPr>
          <w:rFonts w:cs="Tahoma" w:ascii="Tahoma" w:hAnsi="Tahoma"/>
          <w:b/>
          <w:bCs/>
          <w:color w:val="000000"/>
          <w:kern w:val="2"/>
          <w:lang w:val="es-ES_tradnl"/>
        </w:rPr>
        <w:t>OFICINAS Y ALMACENES.</w:t>
      </w:r>
      <w:bookmarkEnd w:id="174"/>
      <w:bookmarkEnd w:id="175"/>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ascii="Verdana" w:hAnsi="Verdana"/>
                <w:b/>
                <w:bCs/>
                <w:color w:val="C00000"/>
              </w:rPr>
              <w:t>SAYACA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ascii="Verdana" w:hAnsi="Verdana"/>
                <w:b/>
                <w:bCs/>
                <w:color w:val="C00000"/>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ascii="Verdana" w:hAnsi="Verdana"/>
                <w:b/>
                <w:bCs/>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ascii="Verdana" w:hAnsi="Verdana"/>
                <w:b/>
                <w:bCs/>
                <w:color w:val="C00000"/>
              </w:rPr>
              <w:t>LLUCHUTA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ascii="Verdana" w:hAnsi="Verdana"/>
                <w:b/>
                <w:bCs/>
                <w:color w:val="C00000"/>
              </w:rPr>
              <w:t>NO</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ascii="Verdana" w:hAnsi="Verdana"/>
                <w:b/>
                <w:bCs/>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76" w:name="_Toc71811168"/>
      <w:bookmarkStart w:id="177" w:name="_Toc536520833"/>
      <w:r>
        <w:rPr>
          <w:rFonts w:cs="Tahoma" w:ascii="Tahoma" w:hAnsi="Tahoma"/>
          <w:b/>
          <w:bCs/>
          <w:color w:val="000000"/>
          <w:kern w:val="2"/>
          <w:lang w:val="es-ES_tradnl"/>
        </w:rPr>
        <w:t>EQUIPO, MAQUINARIA, VEHÍCULOS Y OTROS</w:t>
      </w:r>
      <w:bookmarkEnd w:id="176"/>
      <w:bookmarkEnd w:id="177"/>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8" w:name="_Hlk144980305"/>
            <w:bookmarkStart w:id="179"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9"/>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0"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0"/>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1" w:name="_Toc71811169"/>
      <w:bookmarkStart w:id="182" w:name="_Toc536520834"/>
      <w:r>
        <w:rPr>
          <w:rFonts w:cs="Tahoma" w:ascii="Tahoma" w:hAnsi="Tahoma"/>
          <w:b/>
          <w:bCs/>
          <w:color w:val="000000"/>
          <w:kern w:val="2"/>
          <w:lang w:val="es-ES_tradnl"/>
        </w:rPr>
        <w:t>HERRAMIENTAS E INSUMOS</w:t>
      </w:r>
      <w:bookmarkEnd w:id="181"/>
      <w:bookmarkEnd w:id="182"/>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3" w:name="_Hlk170235456"/>
      <w:bookmarkEnd w:id="183"/>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4"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5" w:name="_Hlk170235456"/>
      <w:bookmarkStart w:id="186" w:name="_Toc71811170"/>
      <w:bookmarkEnd w:id="185"/>
      <w:r>
        <w:rPr>
          <w:rFonts w:cs="Tahoma" w:ascii="Tahoma" w:hAnsi="Tahoma"/>
          <w:b/>
          <w:bCs/>
          <w:color w:val="000000"/>
          <w:kern w:val="2"/>
          <w:lang w:val="es-ES_tradnl"/>
        </w:rPr>
        <w:t>CONTROL Y SEGUIMIENTO DE LA CONSULTORÍA</w:t>
      </w:r>
      <w:bookmarkEnd w:id="184"/>
      <w:bookmarkEnd w:id="186"/>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7" w:name="_Hlk170236919"/>
    </w:p>
    <w:p>
      <w:pPr>
        <w:pStyle w:val="Normal"/>
        <w:numPr>
          <w:ilvl w:val="1"/>
          <w:numId w:val="71"/>
        </w:numPr>
        <w:spacing w:lineRule="atLeast" w:line="260"/>
        <w:ind w:left="426" w:hanging="360"/>
        <w:jc w:val="both"/>
        <w:rPr>
          <w:rFonts w:ascii="Tahoma" w:hAnsi="Tahoma" w:cs="Tahoma"/>
          <w:lang w:val="es-ES_tradnl"/>
        </w:rPr>
      </w:pPr>
      <w:bookmarkStart w:id="188" w:name="_Hlk170235486"/>
      <w:r>
        <w:rPr>
          <w:rFonts w:cs="Tahoma" w:ascii="Tahoma" w:hAnsi="Tahoma"/>
          <w:lang w:val="es-ES_tradnl"/>
        </w:rPr>
        <w:t>Realizar el estricto seguimiento y control al cumplimiento de las condiciones ofertadas por la Entidad Ejecutora.</w:t>
      </w:r>
      <w:bookmarkEnd w:id="187"/>
      <w:bookmarkEnd w:id="188"/>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9" w:name="_Toc536520844"/>
      <w:r>
        <w:rPr>
          <w:rFonts w:cs="Tahoma" w:ascii="Tahoma" w:hAnsi="Tahoma"/>
          <w:color w:val="000000"/>
          <w:lang w:val="es-ES_tradnl"/>
        </w:rPr>
        <w:t xml:space="preserve"> </w:t>
      </w:r>
      <w:bookmarkStart w:id="190" w:name="_Toc536520845"/>
      <w:bookmarkEnd w:id="189"/>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91" w:name="_Toc49774783"/>
      <w:bookmarkStart w:id="192" w:name="_Toc71811171"/>
      <w:r>
        <w:rPr>
          <w:rFonts w:cs="Tahoma" w:ascii="Tahoma" w:hAnsi="Tahoma"/>
          <w:b/>
          <w:bCs/>
          <w:color w:val="000000"/>
          <w:kern w:val="2"/>
          <w:lang w:val="es-ES_tradnl"/>
        </w:rPr>
        <w:t>DETALLE REFERENCIAL DE LOS COMPONENTE</w:t>
      </w:r>
      <w:bookmarkEnd w:id="191"/>
      <w:r>
        <w:rPr>
          <w:rFonts w:cs="Tahoma" w:ascii="Tahoma" w:hAnsi="Tahoma"/>
          <w:b/>
          <w:bCs/>
          <w:color w:val="000000"/>
          <w:kern w:val="2"/>
          <w:lang w:val="es-ES_tradnl"/>
        </w:rPr>
        <w:t>S (PROVISIÓN Y DOTACIÓN DE MATERIALES DE CONSTRUCCIÓN Y APORTE PROPIO).</w:t>
      </w:r>
      <w:bookmarkEnd w:id="192"/>
    </w:p>
    <w:p>
      <w:pPr>
        <w:pStyle w:val="Normal"/>
        <w:rPr>
          <w:lang w:val="es-ES_tradnl"/>
        </w:rPr>
      </w:pPr>
      <w:r>
        <w:rPr>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907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47"/>
        <w:gridCol w:w="1271"/>
        <w:gridCol w:w="195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514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9072"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51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271"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321,24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201,60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138,30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ARENA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366,11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ARENA FINA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299,17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196,40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1.256,00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ALTA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193,62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1.185,45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17.894,78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4.562,59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3.074,42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241,56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2.171,60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REDUCCIÓN 3/4" A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ONDULADA DE FIBROCEMENTO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260,40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351,36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109,65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1.221,30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978,54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132,79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GRAVA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422,54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115.630,00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739,52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4.224,27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4.515,60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9.280,59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566,64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381,88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PIEDRA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501,34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PIEDRA MANZANA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94,18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2.476,83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2.827,88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854,08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3.828,96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99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1.212,40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396,90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364,40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65.737,08</w:t>
            </w:r>
          </w:p>
        </w:tc>
      </w:tr>
    </w:tbl>
    <w:p>
      <w:pPr>
        <w:pStyle w:val="Normal"/>
        <w:rPr>
          <w:rFonts w:ascii="Tahoma" w:hAnsi="Tahoma" w:cs="Tahoma"/>
          <w:sz w:val="18"/>
          <w:szCs w:val="18"/>
        </w:rPr>
      </w:pPr>
      <w:r>
        <w:rPr>
          <w:rFonts w:cs="Tahoma" w:ascii="Tahoma" w:hAnsi="Tahoma"/>
          <w:sz w:val="18"/>
          <w:szCs w:val="18"/>
        </w:rPr>
      </w:r>
    </w:p>
    <w:tbl>
      <w:tblPr>
        <w:tblW w:w="908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
        <w:gridCol w:w="4978"/>
        <w:gridCol w:w="992"/>
        <w:gridCol w:w="851"/>
        <w:gridCol w:w="1559"/>
      </w:tblGrid>
      <w:tr>
        <w:trPr>
          <w:trHeight w:val="20" w:hRule="atLeast"/>
        </w:trPr>
        <w:tc>
          <w:tcPr>
            <w:tcW w:w="9083"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109</w:t>
            </w:r>
          </w:p>
        </w:tc>
        <w:tc>
          <w:tcPr>
            <w:tcW w:w="497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5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471.526,82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3" w:name="_Toc536520829"/>
      <w:bookmarkStart w:id="194" w:name="_Toc71811172"/>
      <w:r>
        <w:rPr>
          <w:rFonts w:cs="Tahoma" w:ascii="Tahoma" w:hAnsi="Tahoma"/>
          <w:b/>
          <w:bCs/>
          <w:color w:val="000000"/>
          <w:kern w:val="2"/>
          <w:lang w:val="es-ES_tradnl"/>
        </w:rPr>
        <w:t>PLANILLA DE INSUMOS OPERATIVOS DE LA ENTIDAD EJECUTORA</w:t>
      </w:r>
      <w:bookmarkEnd w:id="193"/>
      <w:bookmarkEnd w:id="194"/>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658"/>
        <w:gridCol w:w="1274"/>
        <w:gridCol w:w="1277"/>
      </w:tblGrid>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PLANILLA DE COSTOS OPERATIVOS</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1274"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277"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EN MATERIALES PREFABRICADOS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2000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rPr>
          <w:lang w:val="es-ES_tradnl"/>
        </w:rPr>
      </w:pPr>
      <w:r>
        <w:rPr>
          <w:lang w:val="es-ES_tradnl"/>
        </w:rPr>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5" w:name="_Toc71811173"/>
      <w:r>
        <w:rPr>
          <w:rFonts w:cs="Tahoma" w:ascii="Tahoma" w:hAnsi="Tahoma"/>
          <w:b/>
          <w:bCs/>
          <w:color w:val="000000"/>
          <w:kern w:val="2"/>
          <w:lang w:val="es-ES_tradnl"/>
        </w:rPr>
        <w:t>DETALLE DE ÍTEMS DEL PROYECTO</w:t>
      </w:r>
      <w:bookmarkEnd w:id="195"/>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74"/>
        <w:gridCol w:w="6834"/>
        <w:gridCol w:w="1745"/>
      </w:tblGrid>
      <w:tr>
        <w:trPr>
          <w:trHeight w:val="20" w:hRule="atLeast"/>
        </w:trPr>
        <w:tc>
          <w:tcPr>
            <w:tcW w:w="67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bookmarkStart w:id="196" w:name="_Hlk179208877"/>
            <w:bookmarkEnd w:id="196"/>
            <w:r>
              <w:rPr>
                <w:rFonts w:cs="Tahoma" w:ascii="Tahoma" w:hAnsi="Tahoma"/>
                <w:b/>
                <w:bCs/>
                <w:color w:val="000000"/>
                <w:sz w:val="18"/>
                <w:szCs w:val="18"/>
                <w:lang w:eastAsia="es-BO"/>
              </w:rPr>
              <w:t>NUM ITEM</w:t>
            </w:r>
          </w:p>
        </w:tc>
        <w:tc>
          <w:tcPr>
            <w:tcW w:w="683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745"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PLACA ONDULADA DE FIBROCEMENTO PREPINTADA C/ESTRUCTURA DE MADERA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PLACA DE FIBROCEMENTO ONDULADA PREPINTADA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LT P/COSECHA DE AGUA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bookmarkStart w:id="197" w:name="_Hlk179208877"/>
      <w:bookmarkStart w:id="198" w:name="_Hlk179208877"/>
      <w:bookmarkEnd w:id="198"/>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0"/>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9" w:name="_Hlk170208442"/>
      <w:bookmarkStart w:id="200" w:name="_Hlk179543256"/>
      <w:bookmarkEnd w:id="200"/>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highlight w:val="green"/>
        </w:rPr>
      </w:pPr>
      <w:bookmarkStart w:id="201" w:name="_Hlk179543256"/>
      <w:bookmarkStart w:id="202" w:name="_Hlk170197607"/>
      <w:bookmarkEnd w:id="201"/>
      <w:r>
        <w:rPr>
          <w:rFonts w:cs="Tahoma" w:ascii="Tahoma" w:hAnsi="Tahoma"/>
          <w:b/>
          <w:bCs/>
          <w:highlight w:val="green"/>
        </w:rPr>
        <w:t>Cemento:</w:t>
      </w:r>
      <w:r>
        <w:rPr>
          <w:rFonts w:cs="Tahoma" w:ascii="Tahoma" w:hAnsi="Tahoma"/>
          <w:highlight w:val="green"/>
        </w:rPr>
        <w:t xml:space="preserve"> Se deberá utilizar cemento Portland 100% de origen nacional fresco y de calidad probada IP-40.</w:t>
      </w:r>
    </w:p>
    <w:p>
      <w:pPr>
        <w:pStyle w:val="Normal"/>
        <w:tabs>
          <w:tab w:val="clear" w:pos="708"/>
          <w:tab w:val="left" w:pos="8711" w:leader="none"/>
        </w:tabs>
        <w:jc w:val="both"/>
        <w:rPr>
          <w:rFonts w:ascii="Tahoma" w:hAnsi="Tahoma" w:cs="Tahoma"/>
        </w:rPr>
      </w:pPr>
      <w:r>
        <w:rPr>
          <w:rFonts w:cs="Tahoma" w:ascii="Tahoma" w:hAnsi="Tahoma"/>
          <w:b/>
          <w:bCs/>
          <w:highlight w:val="green"/>
        </w:rPr>
        <w:t>Cerámica:</w:t>
      </w:r>
      <w:r>
        <w:rPr>
          <w:rFonts w:cs="Tahoma" w:ascii="Tahoma" w:hAnsi="Tahoma"/>
          <w:highlight w:val="green"/>
        </w:rPr>
        <w:t xml:space="preserve"> Deberá utilizarse una cerámica nacional esmaltada de marca reconocida con una calidad mínima de PEI-3 o superior.</w:t>
      </w:r>
      <w:bookmarkEnd w:id="199"/>
      <w:bookmarkEnd w:id="202"/>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3" w:name="_Hlk118650468"/>
      <w:r>
        <w:rPr>
          <w:rFonts w:cs="Tahoma" w:ascii="Tahoma" w:hAnsi="Tahoma"/>
          <w:b/>
          <w:lang w:val="es-ES_tradnl"/>
        </w:rPr>
        <w:t>de construcción</w:t>
      </w:r>
      <w:bookmarkEnd w:id="203"/>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204" w:name="_Toc71811176"/>
      <w:bookmarkStart w:id="205" w:name="_Toc536520846"/>
      <w:r>
        <w:rPr>
          <w:rFonts w:cs="Tahoma" w:ascii="Tahoma" w:hAnsi="Tahoma"/>
          <w:b/>
          <w:bCs/>
          <w:color w:val="000000"/>
          <w:kern w:val="2"/>
          <w:lang w:val="es-ES_tradnl"/>
        </w:rPr>
        <w:t>ESPECIFICACIONES TÉCNICAS DE MATERIALES</w:t>
      </w:r>
      <w:bookmarkEnd w:id="205"/>
      <w:r>
        <w:rPr>
          <w:rFonts w:cs="Tahoma" w:ascii="Tahoma" w:hAnsi="Tahoma"/>
          <w:b/>
          <w:bCs/>
          <w:color w:val="000000"/>
          <w:kern w:val="2"/>
          <w:lang w:val="es-ES_tradnl"/>
        </w:rPr>
        <w:t xml:space="preserve"> DE CONSTRUCCIÓN</w:t>
      </w:r>
      <w:bookmarkEnd w:id="204"/>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684" w:type="dxa"/>
        <w:jc w:val="left"/>
        <w:tblInd w:w="-431" w:type="dxa"/>
        <w:tblLayout w:type="fixed"/>
        <w:tblCellMar>
          <w:top w:w="0" w:type="dxa"/>
          <w:left w:w="70" w:type="dxa"/>
          <w:bottom w:w="0" w:type="dxa"/>
          <w:right w:w="70" w:type="dxa"/>
        </w:tblCellMar>
        <w:tblLook w:val="04a0" w:noHBand="0" w:noVBand="1" w:firstColumn="1" w:lastRow="0" w:lastColumn="0" w:firstRow="1"/>
      </w:tblPr>
      <w:tblGrid>
        <w:gridCol w:w="668"/>
        <w:gridCol w:w="1915"/>
        <w:gridCol w:w="913"/>
        <w:gridCol w:w="6187"/>
      </w:tblGrid>
      <w:tr>
        <w:trPr>
          <w:trHeight w:val="113" w:hRule="atLeast"/>
        </w:trPr>
        <w:tc>
          <w:tcPr>
            <w:tcW w:w="9683"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13" w:hRule="atLeast"/>
        </w:trPr>
        <w:tc>
          <w:tcPr>
            <w:tcW w:w="668"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91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13"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187"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br/>
              <w:t>Deberá contar con Partículas duras, resistentes y durables.</w:t>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br/>
              <w:t>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 FINA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br/>
              <w:t>Los yacimientos de arena a ser utilizados por el Entidad Ejecutora, deberán ser aprobados por el Inspector de Obra, en base a los resultados que arrojen los ensayos realizados en muestras representativas de cada yacimiento.</w:t>
              <w:br/>
              <w:t>En caso de utilizarse arenas provenientes de machaqueo de granitos, basaltos y rocas análogas, no deberán acusar principios de descomposición.</w:t>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kits de seguridad serán sujetos en los muros del baño los mismos seguirán una serie de pasos para su correcta ejecución:</w:t>
              <w:br/>
              <w:t>• Consultar Planos Arquitectónicos y verificar localización.</w:t>
              <w:br/>
              <w:t>• Localizar en lugares y alturas señalados en planos Barras de ayuda para minusválidos en acero inoxidable.</w:t>
              <w:br/>
              <w:t>• Realizar instalación siguiendo todas las indicaciones del Inspector de obra.</w:t>
              <w:br/>
              <w:t>• Utilizar herrajes, chazos y tornillería en acero inoxidable adecuada para el empotramiento al muro.</w:t>
              <w:br/>
              <w:t>• Verificar niveles y acabados para aceptación.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REDUCCIÓN 3/4" A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tuberías de agua de dos diferentes diámetros siendo estos de ¾” a ½”, para que la tubería </w:t>
              <w:br/>
              <w:t>REQUISITOS:</w:t>
              <w:br/>
              <w:t xml:space="preserve">La copla de reducción deberá ser de dimensiones de ¾” a ½” </w:t>
              <w:br/>
              <w:t>• Deberá ser de PVC de primera calidad y marca conocida.</w:t>
              <w:br/>
              <w:t>• El proveedor deberá especificar el tipo, espesor, y resistencia.</w:t>
              <w:br/>
              <w:t>• La superficie del accesorio deberá ser lisa y libre de grietas, fisuras y otros defectos que alteren su calidad.</w:t>
              <w:br/>
              <w:t>• El accesorio deberá ser de color uniforme.</w:t>
              <w:br/>
              <w:t>Debe cumplir la NB 1216024:2018 “Tuberías y accesorios de plástico -Tubos de poli (cloruro de vinilo) no plastificado (pvc-u) para evacuación de aguas residuales y drenaje pluvial en instalaciones prediales</w:t>
              <w:br/>
              <w:t>Debe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ONDULADA DE FIBROCEMENTO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cumbrera de fibrocemento esta localizada en la línea superior del techo que une las 2 inclinaciones del techo.</w:t>
              <w:br/>
              <w:t>REQUISITOS:</w:t>
              <w:br/>
              <w:t>• La calamina deberá ser del tipo ondulada de fibrocemento.</w:t>
              <w:br/>
              <w:t>• Las dimensiones deberán corresponder a los planos de construcción.</w:t>
              <w:br/>
              <w:t>• No deberán presentar rajaduras ni perforaciones en toda la superficie de la hoja.</w:t>
              <w:br/>
              <w:t>• El color de la calamina será definido por el Inspector ó será definido según lineamientos establecidos por la AEVIVIENDA.</w:t>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GRAVA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br/>
              <w:t>El contenido de arcilla en la arena se determinará mediante pruebas preliminares de decantación, quedando desechadas las arenas que contengan más de un 4 % en peso.</w:t>
              <w:br/>
              <w:t>En lo que se refiere a la forma geométrica, se evitará el uso de gravas en forma de láminas o agujas. La granulometría de los agregados debe ser uniforme y estar entre los siguientes límites:</w:t>
              <w:br/>
              <w:t>Para la adecuada fabricación de hormigones la grava es necesario en el caso particular que se considere (de acuerdo con las normas NB/UNE 41110, NB/UNE 41111 y NB/UNE 41112).</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Sifon</w:t>
              <w:br/>
              <w:t>• Sopapa</w:t>
              <w:br/>
              <w:t>• Y otros que sean necesarios para la adecuada instalación.</w:t>
              <w:br/>
              <w:br/>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PIEDRA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empleando usualmente en: cimiento de hormigón ciclópeo, sobre cimiento empedrado y contra piso de cemento, letrero de obra y otros, que refiere a la construcción de algún elemento.</w:t>
              <w:br/>
              <w:t>La piedra a utilizarse debe reunir las siguientes características:</w:t>
              <w:br/>
              <w:t>• Debe ser de buena calidad y estructura homogénea.</w:t>
              <w:br/>
              <w:t>• Debe ser libre de defectos que afecten sus propiedades mecánicas, sin grietas ni planos de fractura.</w:t>
              <w:br/>
              <w:t>• Libre de arcillas, aceites y substancias adheridas o incrustadas.</w:t>
              <w:br/>
              <w:t>• No debe tener compuestos orgánicos.</w:t>
              <w:br/>
              <w:t>• Las dimensiones mínimas de la unidad pétrea deben ser entre los 20 y 45 cm.</w:t>
              <w:br/>
              <w:t>• Características anteriores, deben ser cortadas y presentar por lo menos 4.</w:t>
              <w:br/>
              <w:t>• Caras planas.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PIEDRA MANZANA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Este material se usara EMPEDRADO Y CONTRAPISO DE CEMENTO, CAMARA DE INSPECCION, LETRERO DE OBRA, etc.,</w:t>
              <w:br/>
              <w:t>La piedra manzana es de estructura homogénea, durable, de buen aspecto y de canto rodado. El tamaño del diámetro de la piedra Manzana esta entre 10 a 12 cm.</w:t>
              <w:br/>
              <w:br/>
              <w:t>La piedra a utilizarse deberá reunir las siguientes características:</w:t>
              <w:br/>
              <w:t>• Debe ser de buena calidad y estructura homogénea.</w:t>
              <w:br/>
              <w:t>• Debe ser libre de defectos que afecten sus propiedades mecánicas, sin grietas ni planos de fractura.</w:t>
              <w:br/>
              <w:t>• Libre de arcillas, aceites y sustancia adheridas o incrustadas.</w:t>
              <w:br/>
              <w:t>• No debe tener compuestos orgánicos.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br/>
              <w:br/>
              <w:br/>
              <w:br/>
              <w:br/>
              <w:br/>
              <w:br/>
              <w:br/>
              <w:br/>
              <w:br/>
              <w:br/>
              <w:br/>
              <w:br/>
              <w:br/>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r>
              <w:rPr>
                <w:rFonts w:cs="Tahoma" w:ascii="Tahoma" w:hAnsi="Tahoma"/>
                <w:color w:val="000000"/>
                <w:sz w:val="18"/>
                <w:szCs w:val="18"/>
                <w:lang w:eastAsia="es-BO"/>
              </w:rPr>
              <w:t>,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rejillas de pisos serán de bronce de 10 x 10 cm con una variacion de +/- 1 cm., según los casos singularizados en los planos y deberán contar con dispositivos de campana para obtener el efecto de sifonaje.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6" w:name="_Hlk99371405"/>
      <w:bookmarkStart w:id="207"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8"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8"/>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drawing>
          <wp:anchor behindDoc="0" distT="0" distB="0" distL="0" distR="0" simplePos="0" locked="0" layoutInCell="0" allowOverlap="1" relativeHeight="32">
            <wp:simplePos x="0" y="0"/>
            <wp:positionH relativeFrom="margin">
              <wp:posOffset>4052570</wp:posOffset>
            </wp:positionH>
            <wp:positionV relativeFrom="paragraph">
              <wp:posOffset>-82550</wp:posOffset>
            </wp:positionV>
            <wp:extent cx="1762125" cy="2480310"/>
            <wp:effectExtent l="0" t="0" r="0" b="0"/>
            <wp:wrapNone/>
            <wp:docPr id="28"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descr=""/>
                    <pic:cNvPicPr>
                      <a:picLocks noChangeAspect="1" noChangeArrowheads="1"/>
                    </pic:cNvPicPr>
                  </pic:nvPicPr>
                  <pic:blipFill>
                    <a:blip r:embed="rId7"/>
                    <a:stretch>
                      <a:fillRect/>
                    </a:stretch>
                  </pic:blipFill>
                  <pic:spPr bwMode="auto">
                    <a:xfrm>
                      <a:off x="0" y="0"/>
                      <a:ext cx="1762125" cy="2480310"/>
                    </a:xfrm>
                    <a:prstGeom prst="rect">
                      <a:avLst/>
                    </a:prstGeom>
                  </pic:spPr>
                </pic:pic>
              </a:graphicData>
            </a:graphic>
          </wp:anchor>
        </w:drawing>
        <mc:AlternateContent>
          <mc:Choice Requires="wpg">
            <w:drawing>
              <wp:inline distT="0" distB="0" distL="0" distR="0" wp14:anchorId="537E2269">
                <wp:extent cx="4709795" cy="1955800"/>
                <wp:effectExtent l="0" t="0" r="0" b="6350"/>
                <wp:docPr id="29" name="Forma19"/>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2" name="Picture 3" descr=""/>
                                        <pic:cNvPicPr/>
                                      </pic:nvPicPr>
                                      <pic:blipFill>
                                        <a:blip r:embed="rId8"/>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9" style="position:absolute;margin-left:-13.25pt;margin-top:-154.55pt;width:384.15pt;height:154pt" coordorigin="-265,-3091" coordsize="7683,3080">
                <v:group id="shape_0" alt="Grupo 25" style="position:absolute;left:207;top:-2417;width:370;height:1686"/>
                <v:group id="shape_0" alt="Grupo 35" style="position:absolute;left:-265;top:-3091;width:7683;height:3080">
                  <v:group id="shape_0" alt="Grupo 36" style="position:absolute;left:-265;top:-3091;width:7683;height:3080">
                    <v:rect id="shape_0" ID="Cuadro de texto 38"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39" style="position:absolute;left:-265;top:-3091;width:7633;height:3080">
                      <v:rect id="shape_0" ID="Cuadro de texto 40"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41" style="position:absolute;left:-265;top:-3091;width:6398;height:3080">
                        <v:group id="shape_0" alt="Grupo 42" style="position:absolute;left:-265;top:-3091;width:6398;height:2431">
                          <v:group id="shape_0" alt="Grupo 43" style="position:absolute;left:675;top:-3091;width:5458;height:2431">
                            <v:group id="shape_0" alt="Grupo 44" style="position:absolute;left:675;top:-2919;width:2631;height:2259">
                              <v:shape id="shape_0" ID="Picture 3" stroked="f" o:allowincell="f" style="position:absolute;left:675;top:-2426;width:1619;height:1765;mso-wrap-style:none;v-text-anchor:middle;mso-position-vertical:top" type="_x0000_t75">
                                <v:imagedata r:id="rId8" o:detectmouseclick="t"/>
                                <v:stroke color="#3465a4" joinstyle="round" endcap="flat"/>
                                <w10:wrap type="square"/>
                              </v:shape>
                            </v:group>
                            <v:rect id="shape_0" ID="Cuadro de texto 78"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80"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81"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82"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0" name="Imagen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92" descr=""/>
                    <pic:cNvPicPr>
                      <a:picLocks noChangeAspect="1" noChangeArrowheads="1"/>
                    </pic:cNvPicPr>
                  </pic:nvPicPr>
                  <pic:blipFill>
                    <a:blip r:embed="rId9"/>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ind w:left="708" w:hanging="708"/>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w:t>
      </w:r>
    </w:p>
    <w:p>
      <w:pPr>
        <w:pStyle w:val="Normal"/>
        <w:widowControl w:val="false"/>
        <w:ind w:left="708" w:hanging="708"/>
        <w:jc w:val="both"/>
        <w:rPr>
          <w:rFonts w:ascii="Tahoma" w:hAnsi="Tahoma" w:eastAsia="Arial" w:cs="Tahoma"/>
          <w:color w:val="000000"/>
          <w:sz w:val="18"/>
          <w:szCs w:val="18"/>
        </w:rPr>
      </w:pPr>
      <w:r>
        <w:rPr>
          <w:rFonts w:eastAsia="Arial" w:cs="Tahoma" w:ascii="Tahoma" w:hAnsi="Tahoma"/>
          <w:color w:val="000000"/>
          <w:sz w:val="18"/>
          <w:szCs w:val="18"/>
        </w:rPr>
        <w:t>cantidad monetaria del ítem. En caso de mano de obra no calificada, la Entidad Ejecutora deberá capacitar al beneficiario</w:t>
      </w:r>
    </w:p>
    <w:p>
      <w:pPr>
        <w:pStyle w:val="Normal"/>
        <w:widowControl w:val="false"/>
        <w:ind w:left="708" w:hanging="708"/>
        <w:jc w:val="both"/>
        <w:rPr>
          <w:rFonts w:ascii="Tahoma" w:hAnsi="Tahoma" w:eastAsia="Arial" w:cs="Tahoma"/>
          <w:color w:val="000000"/>
          <w:sz w:val="18"/>
          <w:szCs w:val="18"/>
        </w:rPr>
      </w:pPr>
      <w:r>
        <w:rPr>
          <w:rFonts w:eastAsia="Arial" w:cs="Tahoma" w:ascii="Tahoma" w:hAnsi="Tahoma"/>
          <w:color w:val="000000"/>
          <w:sz w:val="18"/>
          <w:szCs w:val="18"/>
        </w:rPr>
        <w:t>para la buena ejecución del ítem a seguir. En caso de material de aporte propio, este será aprobado por el Inspector</w:t>
      </w:r>
    </w:p>
    <w:p>
      <w:pPr>
        <w:pStyle w:val="Normal"/>
        <w:widowControl w:val="false"/>
        <w:ind w:left="708" w:hanging="708"/>
        <w:jc w:val="both"/>
        <w:rPr>
          <w:rFonts w:ascii="Tahoma" w:hAnsi="Tahoma" w:eastAsia="Arial" w:cs="Tahoma"/>
          <w:color w:val="000000"/>
          <w:sz w:val="18"/>
          <w:szCs w:val="18"/>
        </w:rPr>
      </w:pPr>
      <w:r>
        <w:rPr>
          <w:rFonts w:eastAsia="Arial" w:cs="Tahoma" w:ascii="Tahoma" w:hAnsi="Tahoma"/>
          <w:color w:val="000000"/>
          <w:sz w:val="18"/>
          <w:szCs w:val="18"/>
        </w:rPr>
        <w:t>de proyecto, para garantizar su calidad.</w:t>
      </w:r>
    </w:p>
    <w:p>
      <w:pPr>
        <w:pStyle w:val="Normal"/>
        <w:widowControl w:val="false"/>
        <w:ind w:left="708" w:hanging="708"/>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9"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10"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1" w:name="_Hlk99012889"/>
      <w:bookmarkStart w:id="212"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1"/>
      <w:bookmarkEnd w:id="212"/>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3FC8F9C6">
                <wp:extent cx="2553335" cy="3954780"/>
                <wp:effectExtent l="0" t="715010" r="0" b="690245"/>
                <wp:docPr id="31" name="Imagen 20"/>
                <a:graphic xmlns:a="http://schemas.openxmlformats.org/drawingml/2006/main">
                  <a:graphicData uri="http://schemas.openxmlformats.org/drawingml/2006/picture">
                    <pic:pic xmlns:pic="http://schemas.openxmlformats.org/drawingml/2006/picture">
                      <pic:nvPicPr>
                        <pic:cNvPr id="3" name="Imagen 20" descr=""/>
                        <pic:cNvPicPr/>
                      </pic:nvPicPr>
                      <pic:blipFill>
                        <a:blip r:embed="rId10"/>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3FC8F9C6" type="_x0000_t75">
                <v:imagedata r:id="rId10" o:detectmouseclick="t"/>
                <v:stroke color="#3465a4" joinstyle="round" endcap="flat"/>
                <w10:wrap type="square"/>
              </v:shape>
            </w:pict>
          </mc:Fallback>
        </mc:AlternateConten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r>
              <w:rPr>
                <w:rFonts w:eastAsia="Calibri" w:cs="Tahoma" w:ascii="Tahoma" w:hAnsi="Tahoma"/>
                <w:b/>
                <w:bCs/>
                <w:color w:val="000000"/>
                <w:kern w:val="0"/>
                <w:sz w:val="18"/>
                <w:szCs w:val="18"/>
                <w:lang w:val="es-ES" w:bidi="ar-SA"/>
              </w:rPr>
              <w:t>CUBIERTA DE PLACA ONDULADA DE FIBROCEMENTO PREPINTADA C/ESTRUCTURA DE MADERA</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Calibri" w:cs="Tahoma" w:ascii="Tahoma" w:hAnsi="Tahoma"/>
          <w:b/>
          <w:bCs/>
          <w:color w:val="000000"/>
          <w:sz w:val="18"/>
          <w:szCs w:val="18"/>
        </w:rPr>
        <w:t>MEDICIÓN</w:t>
      </w:r>
      <w:r>
        <w:rPr>
          <w:rFonts w:eastAsia="Arial" w:cs="Tahoma" w:ascii="Tahoma" w:hAnsi="Tahoma"/>
          <w:b/>
          <w:bCs/>
          <w:sz w:val="18"/>
          <w:szCs w:val="18"/>
        </w:rPr>
        <w:t>. –</w:t>
      </w:r>
    </w:p>
    <w:p>
      <w:pPr>
        <w:pStyle w:val="Normal"/>
        <w:widowControl w:val="false"/>
        <w:jc w:val="both"/>
        <w:rPr>
          <w:rFonts w:ascii="Tahoma" w:hAnsi="Tahoma" w:eastAsia="Calibri" w:cs="Tahoma"/>
          <w:b/>
          <w:b/>
          <w:bCs/>
          <w:color w:val="000000"/>
          <w:sz w:val="18"/>
          <w:szCs w:val="18"/>
        </w:rPr>
      </w:pPr>
      <w:r>
        <w:rPr>
          <w:rFonts w:eastAsia="Calibri" w:cs="Tahoma" w:ascii="Tahoma" w:hAnsi="Tahoma"/>
          <w:b/>
          <w:bCs/>
          <w:color w:val="000000"/>
          <w:sz w:val="18"/>
          <w:szCs w:val="18"/>
        </w:rPr>
      </w:r>
    </w:p>
    <w:p>
      <w:pPr>
        <w:pStyle w:val="Normal"/>
        <w:widowControl w:val="false"/>
        <w:jc w:val="both"/>
        <w:rPr>
          <w:rFonts w:ascii="Tahoma" w:hAnsi="Tahoma" w:cs="Tahoma"/>
          <w:sz w:val="18"/>
          <w:szCs w:val="18"/>
        </w:rPr>
      </w:pPr>
      <w:r>
        <w:rPr>
          <w:rFonts w:eastAsia="Arial" w:cs="Tahoma" w:ascii="Tahoma" w:hAnsi="Tahoma"/>
          <w:sz w:val="18"/>
          <w:szCs w:val="18"/>
        </w:rPr>
        <w:t xml:space="preserve">La cubierta de placa ondulada de fibrocemento incluida la estructura de madera, se medirá en </w:t>
      </w:r>
      <w:r>
        <w:rPr>
          <w:rFonts w:eastAsia="Arial" w:cs="Tahoma" w:ascii="Tahoma" w:hAnsi="Tahoma"/>
          <w:b/>
          <w:bCs/>
          <w:sz w:val="18"/>
          <w:szCs w:val="18"/>
        </w:rPr>
        <w:t>metros cuadrados</w:t>
      </w:r>
      <w:r>
        <w:rPr>
          <w:rFonts w:eastAsia="Arial" w:cs="Tahoma" w:ascii="Tahoma" w:hAnsi="Tahoma"/>
          <w:sz w:val="18"/>
          <w:szCs w:val="18"/>
        </w:rPr>
        <w:t xml:space="preserve"> tomando en cuenta únicamente el área neta del trabajo ejecutado indicado en los planos y/o instrucciones escritas del Inspector de proyecto</w:t>
      </w:r>
      <w:r>
        <w:rPr>
          <w:rFonts w:cs="Tahoma" w:ascii="Tahoma" w:hAnsi="Tahoma"/>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w:t>
      </w:r>
      <w:r>
        <w:rPr>
          <w:rFonts w:eastAsia="Arial" w:cs="Tahoma" w:ascii="Tahoma" w:hAnsi="Tahoma"/>
          <w:color w:val="FF0000"/>
          <w:sz w:val="18"/>
          <w:szCs w:val="18"/>
        </w:rPr>
        <w:t xml:space="preserve"> </w:t>
      </w:r>
      <w:r>
        <w:rPr>
          <w:rFonts w:eastAsia="Arial" w:cs="Tahoma" w:ascii="Tahoma" w:hAnsi="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CUMBRERA DE PLACA DE FIBROCEMENTO ONDULADA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placa de fibrocemento ondulada prepintada de acuerdo a los planos de construcción, detalles respectivos,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cumbrera de calamina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materiales deberán ser conservados en un lugar seco y bien protegido.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pPr>
        <w:pStyle w:val="Normal"/>
        <w:widowControl w:val="false"/>
        <w:jc w:val="both"/>
        <w:rPr>
          <w:rFonts w:ascii="Tahoma" w:hAnsi="Tahoma" w:eastAsia="Arial" w:cs="Tahoma"/>
          <w:sz w:val="18"/>
          <w:szCs w:val="18"/>
        </w:rPr>
      </w:pPr>
      <w:r>
        <w:rPr>
          <w:rFonts w:eastAsia="Arial" w:cs="Tahoma" w:ascii="Tahoma" w:hAnsi="Tahoma"/>
          <w:sz w:val="18"/>
          <w:szCs w:val="18"/>
        </w:rPr>
        <w:t>buena y correcta ejecución de este ítem, está bajo control de la Entidad Ejecutora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También se aplicará elementos de fijación como tirafondos, para su fijación se perforará con taladro eléctrico de baja velocidad o berbiquí Broca (6”x1/4”) la perforación no debe ser menor a 5 cm del borde de la teja.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Cumbrera de placa de fibrocemento ondulada prepintada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solamente la longitud neta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13"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13"/>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14" w:name="_Hlk161513692"/>
      <w:r>
        <w:rPr>
          <w:rFonts w:eastAsia="Arial" w:cs="Tahoma" w:ascii="Tahoma" w:hAnsi="Tahoma"/>
          <w:b/>
          <w:sz w:val="18"/>
          <w:szCs w:val="18"/>
        </w:rPr>
        <w:t>Preparación de la Superficie</w:t>
      </w:r>
      <w:bookmarkEnd w:id="214"/>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15"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6"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7"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17"/>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8"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18"/>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9" w:name="_Hlk95686236"/>
      <w:bookmarkEnd w:id="219"/>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0" w:name="_Hlk95686236"/>
      <w:bookmarkStart w:id="221" w:name="_Hlk95686228"/>
      <w:bookmarkStart w:id="222" w:name="_Hlk95686236"/>
      <w:bookmarkStart w:id="223" w:name="_Hlk95686228"/>
      <w:bookmarkEnd w:id="222"/>
    </w:p>
    <w:p>
      <w:pPr>
        <w:pStyle w:val="Normal"/>
        <w:widowControl w:val="false"/>
        <w:spacing w:before="0" w:after="120"/>
        <w:jc w:val="both"/>
        <w:rPr>
          <w:rFonts w:ascii="Tahoma" w:hAnsi="Tahoma" w:eastAsia="Arial" w:cs="Tahoma"/>
          <w:b/>
          <w:b/>
          <w:bCs/>
          <w:sz w:val="18"/>
          <w:szCs w:val="18"/>
        </w:rPr>
      </w:pPr>
      <w:bookmarkStart w:id="224" w:name="_Hlk95686228"/>
      <w:r>
        <w:rPr>
          <w:rFonts w:eastAsia="Arial" w:cs="Tahoma" w:ascii="Tahoma" w:hAnsi="Tahoma"/>
          <w:b/>
          <w:bCs/>
          <w:sz w:val="18"/>
          <w:szCs w:val="18"/>
        </w:rPr>
        <w:t>Aplicación del Revestimiento</w:t>
      </w:r>
      <w:bookmarkEnd w:id="224"/>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5" w:name="_Hlk94715458"/>
      <w:bookmarkEnd w:id="225"/>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6" w:name="_Hlk94715458"/>
      <w:bookmarkStart w:id="227" w:name="_Hlk94715458"/>
      <w:bookmarkEnd w:id="227"/>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8"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8"/>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9" w:name="_Hlk161511539"/>
      <w:r>
        <w:rPr>
          <w:rFonts w:eastAsia="Arial" w:cs="Tahoma" w:ascii="Tahoma" w:hAnsi="Tahoma"/>
          <w:sz w:val="18"/>
          <w:szCs w:val="18"/>
        </w:rPr>
        <w:t xml:space="preserve">Antes del proceder con el revoque, </w:t>
      </w:r>
      <w:bookmarkEnd w:id="229"/>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30"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1"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1"/>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32" w:name="_Hlk166508075"/>
      <w:r>
        <w:rPr>
          <w:rFonts w:eastAsia="Arial" w:cs="Tahoma" w:ascii="Tahoma" w:hAnsi="Tahoma"/>
          <w:sz w:val="18"/>
          <w:szCs w:val="18"/>
        </w:rPr>
        <w:t>proyecto</w:t>
      </w:r>
      <w:bookmarkEnd w:id="232"/>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26</w:t>
            </w:r>
          </w:p>
        </w:tc>
        <w:tc>
          <w:tcPr>
            <w:tcW w:w="2293"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6"/>
          <w:szCs w:val="6"/>
        </w:rPr>
      </w:pPr>
      <w:r>
        <w:rPr>
          <w:rFonts w:eastAsia="Arial" w:cs="Tahoma" w:ascii="Tahoma" w:hAnsi="Tahoma"/>
          <w:sz w:val="6"/>
          <w:szCs w:val="6"/>
        </w:rPr>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3" w:name="_Hlk67220710"/>
      <w:bookmarkStart w:id="234" w:name="_Hlk67220710"/>
      <w:bookmarkEnd w:id="234"/>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5" w:name="_Hlk67220710"/>
      <w:bookmarkStart w:id="236" w:name="_Hlk67220710"/>
      <w:bookmarkEnd w:id="236"/>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31</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37" w:name="_Hlk95056544"/>
      <w:bookmarkEnd w:id="237"/>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38" w:name="_Hlk95056544"/>
      <w:bookmarkStart w:id="239" w:name="_Hlk95056544"/>
      <w:bookmarkEnd w:id="239"/>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40"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41"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1"/>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34</w:t>
            </w:r>
          </w:p>
        </w:tc>
        <w:tc>
          <w:tcPr>
            <w:tcW w:w="2293"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36</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8"/>
                <w:szCs w:val="18"/>
                <w:lang w:val="es-ES"/>
              </w:rPr>
            </w:pPr>
            <w:bookmarkStart w:id="242" w:name="_Hlk164171005"/>
            <w:r>
              <w:rPr>
                <w:rFonts w:eastAsia="Verdana" w:cs="Tahoma" w:ascii="Tahoma" w:hAnsi="Tahoma"/>
                <w:b/>
                <w:kern w:val="0"/>
                <w:sz w:val="18"/>
                <w:szCs w:val="18"/>
                <w:lang w:val="es-ES" w:bidi="ar-SA"/>
              </w:rPr>
              <w:t>INSTALACIÓN ELÉCTRICA (PUNTO TOMACORRIENTE DOBLE)</w:t>
            </w:r>
            <w:bookmarkEnd w:id="242"/>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43" w:name="_Hlk99441616"/>
      <w:bookmarkStart w:id="244"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43"/>
      <w:bookmarkEnd w:id="244"/>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39</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spacing w:before="12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ind w:left="119"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45"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5"/>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2"/>
          <w:szCs w:val="12"/>
        </w:rPr>
      </w:pPr>
      <w:r>
        <w:rPr>
          <w:rFonts w:eastAsia="Arial" w:cs="Tahoma" w:ascii="Tahoma" w:hAnsi="Tahoma"/>
          <w:sz w:val="12"/>
          <w:szCs w:val="12"/>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0"/>
          <w:szCs w:val="10"/>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 xml:space="preserve">provisión y colocado de cajonería baja </w:t>
      </w:r>
      <w:r>
        <w:rPr>
          <w:rFonts w:eastAsia="" w:cs="Tahoma" w:ascii="Tahoma" w:hAnsi="Tahoma" w:eastAsiaTheme="minorEastAsia"/>
          <w:sz w:val="18"/>
          <w:szCs w:val="18"/>
          <w:lang w:eastAsia="es-ES"/>
        </w:rPr>
        <w:t xml:space="preserve">de </w:t>
      </w:r>
      <w:r>
        <w:rPr>
          <w:rFonts w:eastAsia="" w:cs="Tahoma" w:ascii="Tahoma" w:hAnsi="Tahoma" w:eastAsiaTheme="minorEastAsia"/>
          <w:bCs/>
          <w:sz w:val="18"/>
          <w:szCs w:val="18"/>
          <w:lang w:eastAsia="es-ES"/>
        </w:rPr>
        <w:t>cocina</w:t>
      </w:r>
      <w:r>
        <w:rPr>
          <w:rFonts w:eastAsia="" w:cs="Tahoma" w:ascii="Tahoma" w:hAnsi="Tahoma" w:eastAsiaTheme="minorEastAsi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b/>
          <w:b/>
          <w:bCs/>
          <w:color w:val="000000" w:themeColor="text1"/>
          <w:sz w:val="18"/>
          <w:szCs w:val="18"/>
          <w:lang w:eastAsia="es-ES"/>
        </w:rPr>
      </w:pPr>
      <w:r>
        <w:rPr>
          <w:rFonts w:eastAsia="" w:cs="Tahoma" w:ascii="Tahoma" w:hAnsi="Tahoma" w:eastAsiaTheme="minorEastAsia"/>
          <w:b/>
          <w:bCs/>
          <w:color w:val="000000" w:themeColor="text1"/>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w:t>
      </w:r>
      <w:bookmarkStart w:id="246" w:name="_Hlk164095357"/>
      <w:r>
        <w:rPr>
          <w:rFonts w:eastAsia="" w:cs="Tahoma" w:ascii="Tahoma" w:hAnsi="Tahoma" w:eastAsiaTheme="minorEastAsia"/>
          <w:sz w:val="18"/>
          <w:szCs w:val="18"/>
          <w:lang w:eastAsia="es-ES"/>
        </w:rPr>
        <w:t xml:space="preserve">cajonería </w:t>
      </w:r>
      <w:bookmarkEnd w:id="246"/>
      <w:r>
        <w:rPr>
          <w:rFonts w:eastAsia="" w:cs="Tahoma" w:ascii="Tahoma" w:hAnsi="Tahoma" w:eastAsiaTheme="minorEastAsia"/>
          <w:sz w:val="18"/>
          <w:szCs w:val="18"/>
          <w:lang w:eastAsia="es-ES"/>
        </w:rPr>
        <w:t>se construirá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ejecución de las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cajonerías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 lo realizará de acuerdo a planos, esta será de melanina color blanco y su frente o tapa será de otro color aprobado por el Inspector de proyecto.</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cajonería </w:t>
      </w:r>
      <w:r>
        <w:rPr>
          <w:rFonts w:eastAsia="Arial" w:cs="Tahoma" w:ascii="Tahoma" w:hAnsi="Tahoma"/>
          <w:sz w:val="18"/>
          <w:szCs w:val="18"/>
        </w:rPr>
        <w:t>baja</w:t>
      </w:r>
      <w:r>
        <w:rPr>
          <w:rFonts w:eastAsia="Arial" w:cs="Tahoma" w:ascii="Tahoma" w:hAnsi="Tahoma"/>
          <w:color w:val="FF0000"/>
          <w:sz w:val="18"/>
          <w:szCs w:val="18"/>
        </w:rPr>
        <w:t xml:space="preserve"> </w:t>
      </w:r>
      <w:r>
        <w:rPr>
          <w:rFonts w:eastAsia="Arial" w:cs="Tahoma" w:ascii="Tahoma" w:hAnsi="Tahoma"/>
          <w:color w:val="000000" w:themeColor="text1"/>
          <w:sz w:val="18"/>
          <w:szCs w:val="18"/>
        </w:rPr>
        <w:t xml:space="preserve">será medida en </w:t>
      </w:r>
      <w:r>
        <w:rPr>
          <w:rFonts w:eastAsia="Arial" w:cs="Tahoma" w:ascii="Tahoma" w:hAnsi="Tahoma"/>
          <w:b/>
          <w:bCs/>
          <w:color w:val="000000" w:themeColor="text1"/>
          <w:sz w:val="18"/>
          <w:szCs w:val="18"/>
        </w:rPr>
        <w:t>metros</w:t>
      </w:r>
      <w:r>
        <w:rPr>
          <w:rFonts w:eastAsia="Arial" w:cs="Tahoma" w:ascii="Tahoma" w:hAnsi="Tahoma"/>
          <w:color w:val="000000" w:themeColor="text1"/>
          <w:sz w:val="18"/>
          <w:szCs w:val="18"/>
        </w:rPr>
        <w:t>. En esta medición se incluirá únicamente en aquellos trabajos que sean aceptados por el Inspector de proyecto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El aporte propio se encuentra especificado en el análisis</w:t>
      </w:r>
      <w:r>
        <w:rPr>
          <w:rFonts w:eastAsia="Arial" w:cs="Tahoma" w:ascii="Tahoma" w:hAnsi="Tahoma"/>
          <w:color w:val="FF0000"/>
          <w:sz w:val="18"/>
          <w:szCs w:val="18"/>
        </w:rPr>
        <w:t xml:space="preserve"> </w:t>
      </w:r>
      <w:r>
        <w:rPr>
          <w:rFonts w:eastAsia="Arial" w:cs="Tahoma" w:ascii="Tahoma" w:hAnsi="Tahoma"/>
          <w:sz w:val="18"/>
          <w:szCs w:val="18"/>
        </w:rPr>
        <w:t>de precios unitarios</w:t>
      </w:r>
      <w:r>
        <w:rPr>
          <w:rFonts w:eastAsia="Arial" w:cs="Tahoma" w:ascii="Tahoma" w:hAnsi="Tahoma"/>
          <w:color w:val="000000" w:themeColor="text1"/>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VAC-IA-TAN-02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LT P/COSECHA DE AGUA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left="8711" w:hanging="8711"/>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colocación de tanque plástico de agua de 650 lt c/accesorios P/Cosecha de Agua, con todos sus accesorios de acuerdo a la ubicación y cantidad establecida en los planos de detalle, más la construcción de plataforma de base de hormigón ciclópeo con 50% de piedra desplazadora como indica en los planos y/o instrucciones del Inspector de Proyecto.</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tanque de agua de 650 lt y sus accesorios serán de marca reconocida dentro del mercado nacional, debiendo la Entidad Ejecutora presentar muestras y catálogos al Inspector de Proyecto para revisión previa y posterior a su aprobación respectiva, previa a su instalación en obra.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ejecutará en base a lo siguiente: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Plataforma de H°C° con 50% de piedra desplazadora,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uniformidad, humedad y en la cota según lo indicado en el proyecto. Una vez que el Inspector de Proyecto de el visto bueno se podrá dar comienzo a la construcción de Plataforma - Base de Hormigón Ciclópeo con 50% de piedra desplazadora.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el Inspector de </w:t>
      </w:r>
      <w:r>
        <w:rPr>
          <w:rFonts w:eastAsia="Arial" w:cs="Tahoma" w:ascii="Tahoma" w:hAnsi="Tahoma"/>
          <w:sz w:val="18"/>
          <w:szCs w:val="18"/>
        </w:rPr>
        <w:t>Proyecto</w:t>
      </w:r>
      <w:r>
        <w:rPr>
          <w:rFonts w:eastAsia="Arial" w:cs="Tahoma" w:ascii="Tahoma" w:hAnsi="Tahoma"/>
          <w:kern w:val="2"/>
          <w:sz w:val="18"/>
          <w:szCs w:val="18"/>
        </w:rPr>
        <w:t xml:space="preserve">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de la madera será de 3 veces como indica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w:t>
      </w:r>
    </w:p>
    <w:p>
      <w:pPr>
        <w:pStyle w:val="Normal"/>
        <w:widowControl w:val="false"/>
        <w:jc w:val="both"/>
        <w:rPr>
          <w:rFonts w:ascii="Tahoma" w:hAnsi="Tahoma" w:eastAsia="Arial" w:cs="Tahoma"/>
          <w:b/>
          <w:b/>
          <w:sz w:val="18"/>
          <w:szCs w:val="18"/>
          <w:lang w:val="es-419"/>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esta tarea: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medición de los áridos en volumen se realizará en recipientes aprobados por el Inspector de </w:t>
      </w:r>
      <w:r>
        <w:rPr>
          <w:rFonts w:eastAsia="Arial" w:cs="Tahoma" w:ascii="Tahoma" w:hAnsi="Tahoma"/>
          <w:sz w:val="18"/>
          <w:szCs w:val="18"/>
        </w:rPr>
        <w:t>Proyecto</w:t>
      </w:r>
      <w:r>
        <w:rPr>
          <w:rFonts w:eastAsia="Arial" w:cs="Tahoma" w:ascii="Tahoma" w:hAnsi="Tahoma"/>
          <w:kern w:val="2"/>
          <w:sz w:val="18"/>
          <w:szCs w:val="18"/>
        </w:rPr>
        <w:t xml:space="preserve">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Transporte</w:t>
      </w:r>
    </w:p>
    <w:p>
      <w:pPr>
        <w:pStyle w:val="Normal"/>
        <w:widowControl w:val="false"/>
        <w:jc w:val="both"/>
        <w:rPr>
          <w:rFonts w:ascii="Tahoma" w:hAnsi="Tahoma" w:eastAsia="Arial" w:cs="Tahoma"/>
          <w:b/>
          <w:b/>
          <w:sz w:val="18"/>
          <w:szCs w:val="18"/>
          <w:lang w:val="es-419"/>
        </w:rPr>
      </w:pPr>
      <w:r>
        <w:rPr>
          <w:rFonts w:eastAsia="Arial" w:cs="Tahoma" w:ascii="Tahoma" w:hAnsi="Tahoma"/>
          <w:sz w:val="18"/>
          <w:szCs w:val="18"/>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sz w:val="18"/>
          <w:szCs w:val="18"/>
          <w:lang w:val="es-419"/>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procederá al vaciado de los elementos sin antes contar con la autorización del Inspector de </w:t>
      </w:r>
      <w:r>
        <w:rPr>
          <w:rFonts w:eastAsia="Arial" w:cs="Tahoma" w:ascii="Tahoma" w:hAnsi="Tahoma"/>
          <w:sz w:val="18"/>
          <w:szCs w:val="18"/>
        </w:rPr>
        <w:t>Proyecto</w:t>
      </w:r>
      <w:r>
        <w:rPr>
          <w:rFonts w:eastAsia="Arial" w:cs="Tahoma" w:ascii="Tahoma" w:hAnsi="Tahoma"/>
          <w:kern w:val="2"/>
          <w:sz w:val="18"/>
          <w:szCs w:val="18"/>
        </w:rPr>
        <w:t xml:space="preserve">. Asimismo, el vaciado se realizará de acuerdo a un plan de trabajo previamente autorizado por 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Desencofrado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rFonts w:eastAsia="Arial" w:cs="Tahoma" w:ascii="Tahoma" w:hAnsi="Tahoma"/>
          <w:sz w:val="18"/>
          <w:szCs w:val="18"/>
        </w:rPr>
        <w:t>Proyecto</w:t>
      </w:r>
      <w:r>
        <w:rPr>
          <w:rFonts w:eastAsia="Arial" w:cs="Tahoma" w:ascii="Tahoma" w:hAnsi="Tahoma"/>
          <w:sz w:val="18"/>
          <w:szCs w:val="18"/>
          <w:lang w:val="es-419"/>
        </w:rPr>
        <w:t>.</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Protección y Curado:</w:t>
      </w:r>
      <w:r>
        <w:rPr>
          <w:rFonts w:eastAsia="Arial" w:cs="Tahoma" w:ascii="Tahoma" w:hAnsi="Tahoma"/>
          <w:sz w:val="18"/>
          <w:szCs w:val="18"/>
        </w:rPr>
        <w:t xml:space="preserve"> </w:t>
      </w:r>
      <w:r>
        <w:rPr>
          <w:rFonts w:eastAsia="Arial" w:cs="Tahoma" w:ascii="Tahoma" w:hAnsi="Tahoma"/>
          <w:sz w:val="18"/>
          <w:szCs w:val="18"/>
          <w:lang w:val="es-419"/>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provee e instala el tanque de agua de 650 lt, con todos sus accesorios (una conexión de entrada ½”, una conexión de salida de ½”, válvula con varilla y flotador, conexión de rebose, un grifo, una anilla de ½”, una tee de ½”, 2 codos, teflón).</w:t>
      </w:r>
    </w:p>
    <w:p>
      <w:pPr>
        <w:pStyle w:val="Normal"/>
        <w:shd w:val="clear" w:color="auto" w:fill="FFFFFF"/>
        <w:spacing w:lineRule="auto" w:line="276"/>
        <w:ind w:right="121" w:hanging="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cs="Tahoma"/>
          <w:sz w:val="18"/>
          <w:szCs w:val="18"/>
        </w:rPr>
      </w:pPr>
      <w:r>
        <w:rPr>
          <w:rFonts w:cs="Tahoma" w:ascii="Tahoma" w:hAnsi="Tahoma"/>
          <w:sz w:val="18"/>
          <w:szCs w:val="18"/>
        </w:rPr>
        <w:t>El tanque de agua de 650 lt y sus accesorios serán de marca reconocida</w:t>
      </w:r>
      <w:r>
        <w:rPr>
          <w:rFonts w:eastAsia="Arial" w:cs="Tahoma" w:ascii="Tahoma" w:hAnsi="Tahoma"/>
          <w:sz w:val="18"/>
          <w:szCs w:val="18"/>
        </w:rPr>
        <w:t xml:space="preserve"> </w:t>
      </w:r>
      <w:r>
        <w:rPr>
          <w:rFonts w:eastAsia="Arial" w:cs="Tahoma" w:ascii="Tahoma" w:hAnsi="Tahoma"/>
          <w:sz w:val="18"/>
          <w:szCs w:val="18"/>
          <w:lang w:val="es-419"/>
        </w:rPr>
        <w:t>dentro</w:t>
      </w:r>
      <w:r>
        <w:rPr>
          <w:rFonts w:eastAsia="Arial" w:cs="Tahoma" w:ascii="Tahoma" w:hAnsi="Tahoma"/>
          <w:sz w:val="18"/>
          <w:szCs w:val="18"/>
        </w:rPr>
        <w:t xml:space="preserve"> del mercado nacional</w:t>
      </w:r>
      <w:r>
        <w:rPr>
          <w:rFonts w:cs="Tahoma" w:ascii="Tahoma" w:hAnsi="Tahoma"/>
          <w:sz w:val="18"/>
          <w:szCs w:val="18"/>
        </w:rPr>
        <w:t xml:space="preserve">, debiendo la Entidad Ejecutora debe presentar muestras al Inspector de </w:t>
      </w:r>
      <w:r>
        <w:rPr>
          <w:rFonts w:eastAsia="Arial" w:cs="Tahoma" w:ascii="Tahoma" w:hAnsi="Tahoma"/>
          <w:sz w:val="18"/>
          <w:szCs w:val="18"/>
        </w:rPr>
        <w:t>Proyecto</w:t>
      </w:r>
      <w:r>
        <w:rPr>
          <w:rFonts w:cs="Tahoma" w:ascii="Tahoma" w:hAnsi="Tahoma"/>
          <w:sz w:val="18"/>
          <w:szCs w:val="18"/>
        </w:rPr>
        <w:t xml:space="preserve"> para su aprobación respectiva, previa su instalación en obra. “Todos los materiales deben responder a calidad y costo; para aprobación del Inspector”.</w:t>
      </w:r>
    </w:p>
    <w:p>
      <w:pPr>
        <w:pStyle w:val="Normal"/>
        <w:shd w:val="clear" w:color="auto" w:fill="FFFFFF"/>
        <w:spacing w:lineRule="auto" w:line="276"/>
        <w:ind w:right="121" w:hanging="0"/>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Los trabajos de ensamble de las piezas, no permitirán fugas por lo que deberá realizarse mediante el empleo de ligantes y sellantes como teflón y pegamento PVC. Todo el </w:t>
      </w:r>
      <w:r>
        <w:rPr>
          <w:rFonts w:eastAsia="Arial" w:cs="Tahoma" w:ascii="Tahoma" w:hAnsi="Tahoma"/>
          <w:sz w:val="18"/>
          <w:szCs w:val="18"/>
          <w:lang w:val="es-419"/>
        </w:rPr>
        <w:t>trabajo</w:t>
      </w:r>
      <w:r>
        <w:rPr>
          <w:rFonts w:cs="Tahoma" w:ascii="Tahoma" w:hAnsi="Tahoma"/>
          <w:sz w:val="18"/>
          <w:szCs w:val="18"/>
        </w:rPr>
        <w:t xml:space="preserve"> estará sujeto a indicación expresa del Inspector de </w:t>
      </w:r>
      <w:r>
        <w:rPr>
          <w:rFonts w:eastAsia="Arial" w:cs="Tahoma" w:ascii="Tahoma" w:hAnsi="Tahoma"/>
          <w:sz w:val="18"/>
          <w:szCs w:val="18"/>
        </w:rPr>
        <w:t>Proyecto</w:t>
      </w:r>
      <w:r>
        <w:rPr>
          <w:rFonts w:cs="Tahoma" w:ascii="Tahoma" w:hAnsi="Tahoma"/>
          <w:sz w:val="18"/>
          <w:szCs w:val="18"/>
        </w:rPr>
        <w:t>.</w:t>
      </w:r>
    </w:p>
    <w:p>
      <w:pPr>
        <w:pStyle w:val="Normal"/>
        <w:tabs>
          <w:tab w:val="clear" w:pos="708"/>
          <w:tab w:val="left" w:pos="8711" w:leader="none"/>
        </w:tabs>
        <w:spacing w:lineRule="auto" w:line="276"/>
        <w:ind w:right="121" w:hanging="0"/>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lang w:val="es-419"/>
        </w:rPr>
      </w:pPr>
      <w:r>
        <w:rPr>
          <w:rFonts w:cs="Tahoma" w:ascii="Tahoma" w:hAnsi="Tahoma"/>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lang w:val="es-419"/>
        </w:rPr>
        <w:t>Proyecto</w:t>
      </w:r>
      <w:r>
        <w:rPr>
          <w:rFonts w:cs="Tahoma" w:ascii="Tahoma" w:hAnsi="Tahoma"/>
          <w:sz w:val="18"/>
          <w:szCs w:val="18"/>
        </w:rPr>
        <w:t>,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lang w:val="es-419"/>
        </w:rPr>
      </w:pPr>
      <w:r>
        <w:rPr>
          <w:rFonts w:eastAsia="Arial" w:cs="Tahoma" w:ascii="Tahoma" w:hAnsi="Tahoma"/>
          <w:kern w:val="2"/>
          <w:sz w:val="18"/>
          <w:szCs w:val="18"/>
        </w:rPr>
        <w:t>T</w:t>
      </w:r>
      <w:r>
        <w:rPr>
          <w:rFonts w:eastAsia="Arial" w:cs="Tahoma" w:ascii="Tahoma" w:hAnsi="Tahoma"/>
          <w:sz w:val="18"/>
          <w:szCs w:val="18"/>
          <w:lang w:val="es-419"/>
        </w:rPr>
        <w:t>odas las operaciones de la Entidad Ejecutora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Asimismo, la instalación de los artefactos (Tanque plástico de 650 lt), se realizarán las pruebas finales para verificar el correcto funcionamiento de todos y cada uno de los artefactos instalados, en presencia del Inspector de Proyecto, quién deberá certificar la situación.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Provisión y colocado de tanque plástico de agua de 650 lt p/cosecha de agua,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51</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7" w:name="_Hlk181199973"/>
      <w:bookmarkEnd w:id="247"/>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8"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8"/>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9" w:name="_Hlk146219645"/>
      <w:r>
        <w:rPr>
          <w:rFonts w:cs="Arial" w:ascii="Verdana" w:hAnsi="Verdana"/>
          <w:sz w:val="18"/>
          <w:szCs w:val="18"/>
          <w:lang w:val="es-BO"/>
        </w:rPr>
        <w:t>vigente hasta la suscripción del contrato.</w:t>
      </w:r>
      <w:bookmarkEnd w:id="249"/>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50" w:name="_Hlk181210009"/>
      <w:r>
        <w:rPr>
          <w:rFonts w:cs="Arial" w:ascii="Verdana" w:hAnsi="Verdana"/>
          <w:sz w:val="18"/>
          <w:szCs w:val="18"/>
          <w:lang w:val="es-BO"/>
        </w:rPr>
        <w:t>Testimonio de Contrato de Asociación Accidental, cuando corresponda.</w:t>
      </w:r>
      <w:bookmarkEnd w:id="250"/>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51" w:name="_Hlk181199973"/>
      <w:bookmarkStart w:id="252" w:name="_Hlk181199973"/>
      <w:bookmarkEnd w:id="252"/>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53" w:name="_Hlk181200721"/>
            <w:bookmarkEnd w:id="253"/>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4" w:name="_Hlk181200721"/>
            <w:bookmarkStart w:id="255" w:name="_Hlk181200721"/>
            <w:bookmarkEnd w:id="255"/>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bookmarkStart w:id="256" w:name="_Hlk181201285"/>
      <w:bookmarkStart w:id="257" w:name="_Hlk181201285"/>
    </w:p>
    <w:tbl>
      <w:tblPr>
        <w:tblW w:w="88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346"/>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34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34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378,00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321,24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1.040,00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4.280,00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201,60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138,30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ARENA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366,11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ARENA FINA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299,17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196,40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1.256,00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193,62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1.185,45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17.894,78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4.562,59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3.074,42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241,56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2.171,60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146,00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1.920,00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378,00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COPLA REDUCCIÓN 3/4" A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CUMBRERA ONDULADA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260,40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351,36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109,65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1.221,30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978,54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132,79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GRAVA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422,54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115.630,00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29.120,00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739,52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4.224,27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4.515,60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9.280,59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566,64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381,88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19,20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32,54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PIEDRA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501,34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PIEDRA MANZANA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94,18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2.476,83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2.827,88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70,48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854,08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3.828,96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1.134,00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1.212,40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396,90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364,40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65.737,08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109</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471.526,82</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471.526,82</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471.526,82</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bookmarkEnd w:id="257"/>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8" w:name="_Hlk181201425"/>
      <w:bookmarkStart w:id="259"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9"/>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0" w:name="_Hlk181201699"/>
            <w:bookmarkEnd w:id="260"/>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1" w:name="_Hlk181201699"/>
            <w:bookmarkStart w:id="262" w:name="_Hlk181201699"/>
            <w:bookmarkEnd w:id="262"/>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3" w:name="_Hlk181201795"/>
            <w:bookmarkEnd w:id="263"/>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4" w:name="_Hlk181201795"/>
            <w:bookmarkStart w:id="265" w:name="_Hlk181201795"/>
            <w:bookmarkEnd w:id="265"/>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6" w:name="_Hlk181201860"/>
            <w:bookmarkEnd w:id="266"/>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7" w:name="_Hlk181201860"/>
            <w:bookmarkStart w:id="268" w:name="_Hlk181201860"/>
            <w:bookmarkEnd w:id="268"/>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2"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76999379"/>
    </w:sdtPr>
    <w:sdtContent>
      <w:p>
        <w:pPr>
          <w:pStyle w:val="Piedepgina"/>
          <w:jc w:val="right"/>
          <w:rPr/>
        </w:pPr>
        <w:r>
          <w:rPr/>
          <w:fldChar w:fldCharType="begin"/>
        </w:r>
        <w:r>
          <w:rPr/>
          <w:instrText xml:space="preserve"> PAGE </w:instrText>
        </w:r>
        <w:r>
          <w:rPr/>
          <w:fldChar w:fldCharType="separate"/>
        </w:r>
        <w:r>
          <w:rPr/>
          <w:t>18</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18437826"/>
    </w:sdtPr>
    <w:sdtContent>
      <w:p>
        <w:pPr>
          <w:pStyle w:val="Piedepgina"/>
          <w:jc w:val="right"/>
          <w:rPr/>
        </w:pPr>
        <w:r>
          <w:rPr/>
          <w:fldChar w:fldCharType="begin"/>
        </w:r>
        <w:r>
          <w:rPr/>
          <w:instrText xml:space="preserve"> PAGE </w:instrText>
        </w:r>
        <w:r>
          <w:rPr/>
          <w:fldChar w:fldCharType="separate"/>
        </w:r>
        <w:r>
          <w:rPr/>
          <w:t>18</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77"/>
    <w:lvlOverride w:ilvl="0">
      <w:startOverride w:val="1"/>
    </w:lvlOverride>
  </w:num>
  <w:num w:numId="116">
    <w:abstractNumId w:val="77"/>
  </w:num>
  <w:num w:numId="117">
    <w:abstractNumId w:val="77"/>
  </w:num>
  <w:num w:numId="118">
    <w:abstractNumId w:val="77"/>
  </w:num>
  <w:num w:numId="119">
    <w:abstractNumId w:val="77"/>
  </w:num>
  <w:num w:numId="120">
    <w:abstractNumId w:val="77"/>
  </w:num>
  <w:num w:numId="121">
    <w:abstractNumId w:val="77"/>
  </w:num>
  <w:num w:numId="122">
    <w:abstractNumId w:val="77"/>
  </w:num>
  <w:num w:numId="123">
    <w:abstractNumId w:val="77"/>
  </w:num>
  <w:num w:numId="124">
    <w:abstractNumId w:val="77"/>
  </w:num>
  <w:num w:numId="125">
    <w:abstractNumId w:val="77"/>
  </w:num>
  <w:num w:numId="126">
    <w:abstractNumId w:val="77"/>
  </w:num>
  <w:num w:numId="127">
    <w:abstractNumId w:val="77"/>
  </w:num>
  <w:num w:numId="128">
    <w:abstractNumId w:val="10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uiPriority w:val="99"/>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uiPriority w:val="99"/>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uiPriority w:val="99"/>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uiPriority w:val="99"/>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uiPriority w:val="99"/>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uiPriority w:val="99"/>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uiPriority w:val="99"/>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uiPriority w:val="99"/>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uiPriority w:val="99"/>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uiPriority w:val="99"/>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uiPriority w:val="99"/>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uiPriority w:val="99"/>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99"/>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99"/>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uiPriority w:val="99"/>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uiPriority w:val="99"/>
    <w:qFormat/>
    <w:rsid w:val="008c3309"/>
    <w:pPr>
      <w:ind w:left="2126" w:firstLine="6"/>
      <w:jc w:val="both"/>
    </w:pPr>
    <w:rPr>
      <w:rFonts w:ascii="Arial" w:hAnsi="Arial" w:cs="Arial"/>
      <w:sz w:val="22"/>
      <w:szCs w:val="24"/>
      <w:lang w:eastAsia="es-ES"/>
    </w:rPr>
  </w:style>
  <w:style w:type="paragraph" w:styleId="Fullname" w:customStyle="1">
    <w:name w:val="fullname"/>
    <w:basedOn w:val="Normal"/>
    <w:uiPriority w:val="99"/>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uiPriority w:val="99"/>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uiPriority w:val="99"/>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uiPriority w:val="99"/>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uiPriority w:val="99"/>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uiPriority w:val="99"/>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uiPriority w:val="99"/>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uiPriority w:val="99"/>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uiPriority w:val="99"/>
    <w:qFormat/>
    <w:rsid w:val="008c3309"/>
    <w:pPr>
      <w:spacing w:beforeAutospacing="1" w:afterAutospacing="1"/>
    </w:pPr>
    <w:rPr>
      <w:rFonts w:ascii="Tahoma" w:hAnsi="Tahoma" w:cs="Tahoma"/>
      <w:b/>
      <w:bCs/>
      <w:lang w:val="es-BO" w:eastAsia="es-BO"/>
    </w:rPr>
  </w:style>
  <w:style w:type="paragraph" w:styleId="Xl93" w:customStyle="1">
    <w:name w:val="xl93"/>
    <w:basedOn w:val="Normal"/>
    <w:uiPriority w:val="99"/>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uiPriority w:val="99"/>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Application>LibreOffice/7.3.7.2$Linux_X86_64 LibreOffice_project/30$Build-2</Application>
  <AppVersion>15.0000</AppVersion>
  <Pages>199</Pages>
  <Words>88970</Words>
  <Characters>481160</Characters>
  <CharactersWithSpaces>565236</CharactersWithSpaces>
  <Paragraphs>6286</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2023-03-14T22:48:00Z</cp:lastPrinted>
  <dcterms:modified xsi:type="dcterms:W3CDTF">2025-01-21T16:31:35Z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file>