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wmf" ContentType="image/x-wmf"/>
  <Override PartName="/word/media/image3.wmf" ContentType="image/x-wmf"/>
  <Override PartName="/word/media/image4.gif" ContentType="image/gif"/>
  <Override PartName="/word/media/image8.png" ContentType="image/png"/>
  <Override PartName="/word/media/image6.png" ContentType="image/png"/>
  <Override PartName="/word/media/image7.png" ContentType="image/png"/>
  <Override PartName="/word/media/image9.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10"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CARIPUYO</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CARIPUYO</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32</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2.382.765,30 </w:t>
            </w:r>
            <w:r>
              <w:rPr>
                <w:b/>
                <w:sz w:val="18"/>
                <w:szCs w:val="18"/>
                <w:lang w:val="es-BO"/>
              </w:rPr>
              <w:t>(</w:t>
            </w:r>
            <w:r>
              <w:rPr>
                <w:bCs/>
                <w:sz w:val="18"/>
                <w:szCs w:val="18"/>
                <w:lang w:val="es-BO"/>
              </w:rPr>
              <w:t>Dos Millones Trescientos Ochenta y Dos Mil Setecientos Sesenta y Cinco 30/1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CARIPUYO –FASE (VIII)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2" w:name="_Hlk1702073191"/>
            <w:r>
              <w:rPr>
                <w:rFonts w:cs="Tahoma" w:ascii="Tahoma" w:hAnsi="Tahoma"/>
                <w:b/>
                <w:lang w:val="es-ES_tradnl"/>
              </w:rPr>
              <w:t>Precio Evaluado más Bajo</w:t>
            </w:r>
            <w:bookmarkEnd w:id="32"/>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PROYECTO DE VIVIENDA CUALITATIVA EN EL MUNICIPIO DE CARIPUYO – FASE (VIII)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CARIPUYO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 </w:t>
      </w:r>
      <w:r>
        <w:rPr>
          <w:rFonts w:cs="Tahoma" w:ascii="Tahoma" w:hAnsi="Tahoma"/>
          <w:b/>
          <w:color w:val="7030A0"/>
          <w:lang w:val="es-ES_tradnl" w:eastAsia="es-ES"/>
        </w:rPr>
        <w:t>(</w:t>
      </w:r>
      <w:r>
        <w:rPr>
          <w:rFonts w:cs="Tahoma" w:ascii="Tahoma" w:hAnsi="Tahoma"/>
          <w:i/>
          <w:color w:val="FF0000"/>
          <w:lang w:eastAsia="es-ES"/>
        </w:rPr>
        <w:t>RENOVACIÓN TIPO 1</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30 </w:t>
      </w:r>
      <w:r>
        <w:rPr>
          <w:rFonts w:cs="Tahoma" w:ascii="Tahoma" w:hAnsi="Tahoma"/>
          <w:b/>
          <w:color w:val="7030A0"/>
          <w:lang w:val="es-ES_tradnl" w:eastAsia="es-ES"/>
        </w:rPr>
        <w:t>(</w:t>
      </w:r>
      <w:r>
        <w:rPr>
          <w:rFonts w:cs="Tahoma" w:ascii="Tahoma" w:hAnsi="Tahoma"/>
          <w:i/>
          <w:color w:val="FF0000"/>
          <w:lang w:eastAsia="es-ES"/>
        </w:rPr>
        <w:t>RENOVACIÓN TIPO 2</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10.00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68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(DE CADA VIVIENDA TIPO)</w:t>
      </w:r>
    </w:p>
    <w:p>
      <w:pPr>
        <w:pStyle w:val="Normal"/>
        <w:jc w:val="center"/>
        <w:rPr>
          <w:rFonts w:ascii="Tahoma" w:hAnsi="Tahoma" w:cs="Tahoma"/>
          <w:u w:val="single"/>
        </w:rPr>
      </w:pPr>
      <w:r>
        <w:rPr>
          <w:rFonts w:cs="Tahoma" w:ascii="Tahoma" w:hAnsi="Tahoma"/>
          <w:u w:val="single"/>
        </w:rPr>
      </w:r>
    </w:p>
    <w:p>
      <w:pPr>
        <w:pStyle w:val="Normal"/>
        <w:spacing w:lineRule="atLeast" w:line="260"/>
        <w:jc w:val="center"/>
        <w:rPr>
          <w:rFonts w:ascii="Tahoma" w:hAnsi="Tahoma" w:cs="Tahoma"/>
          <w:b/>
          <w:b/>
          <w:color w:val="FF0000"/>
          <w:lang w:val="es-ES_tradnl" w:eastAsia="es-ES"/>
        </w:rPr>
      </w:pPr>
      <w:r>
        <w:rPr>
          <w:rFonts w:cs="Tahoma" w:ascii="Tahoma" w:hAnsi="Tahoma"/>
          <w:b/>
          <w:color w:val="FF0000"/>
          <w:lang w:val="es-ES_tradnl" w:eastAsia="es-ES"/>
        </w:rPr>
        <w:t>Renovación Tipo 1</w:t>
      </w:r>
    </w:p>
    <w:p>
      <w:pPr>
        <w:pStyle w:val="Normal"/>
        <w:jc w:val="center"/>
        <w:rPr>
          <w:rFonts w:ascii="Tahoma" w:hAnsi="Tahoma" w:cs="Tahoma"/>
          <w:u w:val="single"/>
        </w:rPr>
      </w:pPr>
      <w:r>
        <w:rPr/>
        <w:drawing>
          <wp:inline distT="0" distB="0" distL="0" distR="0">
            <wp:extent cx="4865370" cy="3051175"/>
            <wp:effectExtent l="0" t="0" r="0" b="0"/>
            <wp:docPr id="4" name="Imagen 1209904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09904581" descr=""/>
                    <pic:cNvPicPr>
                      <a:picLocks noChangeAspect="1" noChangeArrowheads="1"/>
                    </pic:cNvPicPr>
                  </pic:nvPicPr>
                  <pic:blipFill>
                    <a:blip r:embed="rId4"/>
                    <a:stretch>
                      <a:fillRect/>
                    </a:stretch>
                  </pic:blipFill>
                  <pic:spPr bwMode="auto">
                    <a:xfrm>
                      <a:off x="0" y="0"/>
                      <a:ext cx="4865370" cy="3051175"/>
                    </a:xfrm>
                    <a:prstGeom prst="rect">
                      <a:avLst/>
                    </a:prstGeom>
                  </pic:spPr>
                </pic:pic>
              </a:graphicData>
            </a:graphic>
          </wp:inline>
        </w:drawing>
      </w:r>
    </w:p>
    <w:p>
      <w:pPr>
        <w:pStyle w:val="Normal"/>
        <w:jc w:val="center"/>
        <w:rPr>
          <w:lang w:eastAsia="es-BO"/>
        </w:rPr>
      </w:pPr>
      <w:r>
        <w:rPr>
          <w:rFonts w:cs="Tahoma" w:ascii="Tahoma" w:hAnsi="Tahoma"/>
          <w:b/>
          <w:color w:val="FF0000"/>
          <w:lang w:val="es-ES_tradnl" w:eastAsia="es-ES"/>
        </w:rPr>
        <w:t>Renovación Tipo 2</w:t>
      </w:r>
    </w:p>
    <w:p>
      <w:pPr>
        <w:pStyle w:val="Normal"/>
        <w:jc w:val="center"/>
        <w:rPr>
          <w:lang w:eastAsia="es-BO"/>
        </w:rPr>
      </w:pPr>
      <w:r>
        <w:rPr/>
        <w:drawing>
          <wp:inline distT="0" distB="0" distL="0" distR="0">
            <wp:extent cx="5191125" cy="3307080"/>
            <wp:effectExtent l="0" t="0" r="0" b="0"/>
            <wp:docPr id="5" name="Imagen 1464399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64399255" descr=""/>
                    <pic:cNvPicPr>
                      <a:picLocks noChangeAspect="1" noChangeArrowheads="1"/>
                    </pic:cNvPicPr>
                  </pic:nvPicPr>
                  <pic:blipFill>
                    <a:blip r:embed="rId5"/>
                    <a:stretch>
                      <a:fillRect/>
                    </a:stretch>
                  </pic:blipFill>
                  <pic:spPr bwMode="auto">
                    <a:xfrm>
                      <a:off x="0" y="0"/>
                      <a:ext cx="5191125" cy="3307080"/>
                    </a:xfrm>
                    <a:prstGeom prst="rect">
                      <a:avLst/>
                    </a:prstGeom>
                  </pic:spPr>
                </pic:pic>
              </a:graphicData>
            </a:graphic>
          </wp:inline>
        </w:drawing>
      </w:r>
    </w:p>
    <w:p>
      <w:pPr>
        <w:pStyle w:val="Normal"/>
        <w:spacing w:before="0" w:after="0"/>
        <w:ind w:left="1080" w:hanging="0"/>
        <w:contextualSpacing/>
        <w:jc w:val="both"/>
        <w:rPr>
          <w:rFonts w:ascii="Tahoma" w:hAnsi="Tahoma" w:cs="Tahoma"/>
          <w:bCs/>
          <w:lang w:val="es-ES_tradnl" w:eastAsia="es-ES_tradnl"/>
        </w:rPr>
      </w:pPr>
      <w:r>
        <w:rPr>
          <w:rFonts w:cs="Tahoma" w:ascii="Tahoma" w:hAnsi="Tahoma"/>
          <w:bCs/>
          <w:lang w:val="es-ES_tradnl" w:eastAsia="es-ES_tradnl"/>
        </w:rPr>
      </w:r>
      <w:bookmarkStart w:id="37" w:name="_Toc71811146"/>
      <w:bookmarkStart w:id="38" w:name="_Hlk145576767"/>
      <w:bookmarkStart w:id="39" w:name="_Toc71811146"/>
      <w:bookmarkStart w:id="40" w:name="_Hlk145576767"/>
    </w:p>
    <w:p>
      <w:pPr>
        <w:pStyle w:val="Normal"/>
        <w:numPr>
          <w:ilvl w:val="0"/>
          <w:numId w:val="46"/>
        </w:numPr>
        <w:spacing w:before="0" w:after="0"/>
        <w:contextualSpacing/>
        <w:jc w:val="both"/>
        <w:rPr>
          <w:rFonts w:ascii="Tahoma" w:hAnsi="Tahoma" w:cs="Tahoma"/>
          <w:bCs/>
          <w:lang w:val="es-ES_tradnl" w:eastAsia="es-ES_tradnl"/>
        </w:rPr>
      </w:pPr>
      <w:bookmarkStart w:id="4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6"/>
      <w:r>
        <w:rPr>
          <w:rFonts w:cs="Tahoma" w:ascii="Tahoma" w:hAnsi="Tahoma"/>
          <w:b/>
          <w:bCs/>
          <w:color w:val="000000"/>
          <w:kern w:val="2"/>
          <w:lang w:val="es-ES_tradnl"/>
        </w:rPr>
        <w:t>UBICACIÓN GEOGRÁFICA DEL PROYECTO.</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 xml:space="preserve">CARIPUYO </w:t>
      </w:r>
      <w:r>
        <w:rPr>
          <w:rFonts w:cs="Tahoma" w:ascii="Tahoma" w:hAnsi="Tahoma"/>
          <w:lang w:val="es-ES_tradnl"/>
        </w:rPr>
        <w:t xml:space="preserve">se encuentra en la provincia </w:t>
      </w:r>
      <w:r>
        <w:rPr>
          <w:rFonts w:cs="Tahoma" w:ascii="Tahoma" w:hAnsi="Tahoma"/>
          <w:b/>
          <w:color w:val="FF0000"/>
          <w:lang w:val="es-ES_tradnl"/>
        </w:rPr>
        <w:t>ALONSO DE IBAÑEZ</w:t>
      </w:r>
      <w:r>
        <w:rPr>
          <w:rFonts w:cs="Tahoma" w:ascii="Tahoma" w:hAnsi="Tahoma"/>
          <w:lang w:val="es-ES_tradnl"/>
        </w:rPr>
        <w:t xml:space="preserve">, del departamento de </w:t>
      </w:r>
      <w:r>
        <w:rPr>
          <w:rFonts w:cs="Tahoma" w:ascii="Tahoma" w:hAnsi="Tahoma"/>
          <w:b/>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Bolívar (Cochabamba)</w:t>
      </w:r>
      <w:r>
        <w:rPr>
          <w:rFonts w:cs="Tahoma" w:ascii="Tahoma" w:hAnsi="Tahoma"/>
          <w:lang w:val="es-ES_tradnl"/>
        </w:rPr>
        <w:t xml:space="preserve">, al este con </w:t>
      </w:r>
      <w:r>
        <w:rPr>
          <w:rFonts w:cs="Tahoma" w:ascii="Tahoma" w:hAnsi="Tahoma"/>
          <w:color w:val="FF0000"/>
          <w:lang w:val="es-ES_tradnl"/>
        </w:rPr>
        <w:t>el municipio de Sacaca y Chayanta</w:t>
      </w:r>
      <w:r>
        <w:rPr>
          <w:rFonts w:cs="Tahoma" w:ascii="Tahoma" w:hAnsi="Tahoma"/>
          <w:lang w:val="es-ES_tradnl"/>
        </w:rPr>
        <w:t xml:space="preserve">, al oeste con </w:t>
      </w:r>
      <w:r>
        <w:rPr>
          <w:rFonts w:cs="Tahoma" w:ascii="Tahoma" w:hAnsi="Tahoma"/>
          <w:color w:val="FF0000"/>
          <w:lang w:val="es-ES_tradnl"/>
        </w:rPr>
        <w:t xml:space="preserve">Huanuni (Oruro) </w:t>
      </w:r>
      <w:r>
        <w:rPr>
          <w:rFonts w:cs="Tahoma" w:ascii="Tahoma" w:hAnsi="Tahoma"/>
          <w:lang w:val="es-ES_tradnl"/>
        </w:rPr>
        <w:t xml:space="preserve">y al sur con </w:t>
      </w:r>
      <w:r>
        <w:rPr>
          <w:rFonts w:cs="Tahoma" w:ascii="Tahoma" w:hAnsi="Tahoma"/>
          <w:color w:val="FF0000"/>
          <w:lang w:val="es-ES_tradnl"/>
        </w:rPr>
        <w:t>el municipio de Lllallagua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center"/>
        <w:rPr>
          <w:rFonts w:ascii="Tahoma" w:hAnsi="Tahoma" w:cs="Tahoma"/>
          <w:lang w:val="es-ES_tradnl"/>
        </w:rPr>
      </w:pPr>
      <w:r>
        <mc:AlternateContent>
          <mc:Choice Requires="wps">
            <w:drawing>
              <wp:anchor behindDoc="0" distT="0" distB="22860" distL="0" distR="15240" simplePos="0" locked="0" layoutInCell="0" allowOverlap="1" relativeHeight="20" wp14:anchorId="70DE6993">
                <wp:simplePos x="0" y="0"/>
                <wp:positionH relativeFrom="margin">
                  <wp:posOffset>1155065</wp:posOffset>
                </wp:positionH>
                <wp:positionV relativeFrom="paragraph">
                  <wp:posOffset>79375</wp:posOffset>
                </wp:positionV>
                <wp:extent cx="422910" cy="396240"/>
                <wp:effectExtent l="3175" t="3810" r="3810" b="3810"/>
                <wp:wrapNone/>
                <wp:docPr id="6" name="Elipse 4"/>
                <a:graphic xmlns:a="http://schemas.openxmlformats.org/drawingml/2006/main">
                  <a:graphicData uri="http://schemas.microsoft.com/office/word/2010/wordprocessingShape">
                    <wps:wsp>
                      <wps:cNvSpPr/>
                      <wps:spPr>
                        <a:xfrm>
                          <a:off x="0" y="0"/>
                          <a:ext cx="423000" cy="396360"/>
                        </a:xfrm>
                        <a:prstGeom prst="ellipse">
                          <a:avLst/>
                        </a:prstGeom>
                        <a:solidFill>
                          <a:srgbClr val="4f81bd">
                            <a:alpha val="40000"/>
                          </a:srgbClr>
                        </a:solidFill>
                        <a:ln w="6350">
                          <a:solidFill>
                            <a:srgbClr val="000000"/>
                          </a:solidFill>
                          <a:round/>
                        </a:ln>
                      </wps:spPr>
                      <wps:style>
                        <a:lnRef idx="0"/>
                        <a:fillRef idx="0"/>
                        <a:effectRef idx="0"/>
                        <a:fontRef idx="minor"/>
                      </wps:style>
                      <wps:bodyPr/>
                    </wps:wsp>
                  </a:graphicData>
                </a:graphic>
              </wp:anchor>
            </w:drawing>
          </mc:Choice>
          <mc:Fallback>
            <w:pict>
              <v:oval id="shape_0" ID="Elipse 4" path="l-2147483648,-2147483643l-2147483628,-2147483627l-2147483648,-2147483643l-2147483626,-2147483625xe" fillcolor="#4f81bd" stroked="t" o:allowincell="f" style="position:absolute;margin-left:90.95pt;margin-top:6.25pt;width:33.25pt;height:31.15pt;mso-wrap-style:none;v-text-anchor:middle;mso-position-horizontal-relative:margin" wp14:anchorId="70DE6993">
                <v:fill o:detectmouseclick="t" type="solid" color2="#b07e42" opacity="0.39"/>
                <v:stroke color="black" weight="6480" joinstyle="round" endcap="flat"/>
                <w10:wrap type="none"/>
              </v:oval>
            </w:pict>
          </mc:Fallback>
        </mc:AlternateContent>
        <mc:AlternateContent>
          <mc:Choice Requires="wps">
            <w:drawing>
              <wp:anchor behindDoc="0" distT="228600" distB="415925" distL="57150" distR="0" simplePos="0" locked="0" layoutInCell="0" allowOverlap="1" relativeHeight="21" wp14:anchorId="50892506">
                <wp:simplePos x="0" y="0"/>
                <wp:positionH relativeFrom="column">
                  <wp:posOffset>1444625</wp:posOffset>
                </wp:positionH>
                <wp:positionV relativeFrom="paragraph">
                  <wp:posOffset>266700</wp:posOffset>
                </wp:positionV>
                <wp:extent cx="1748790" cy="441960"/>
                <wp:effectExtent l="49530" t="224790" r="0" b="409575"/>
                <wp:wrapNone/>
                <wp:docPr id="7" name="Flecha curvada hacia abajo 7"/>
                <a:graphic xmlns:a="http://schemas.openxmlformats.org/drawingml/2006/main">
                  <a:graphicData uri="http://schemas.microsoft.com/office/word/2010/wordprocessingShape">
                    <wps:wsp>
                      <wps:cNvSpPr/>
                      <wps:spPr>
                        <a:xfrm flipH="1" flipV="1" rot="12624000">
                          <a:off x="0" y="0"/>
                          <a:ext cx="1748880" cy="442080"/>
                        </a:xfrm>
                        <a:prstGeom prst="curvedDownArrow">
                          <a:avLst>
                            <a:gd name="adj1" fmla="val 25000"/>
                            <a:gd name="adj2" fmla="val 71368"/>
                            <a:gd name="adj3" fmla="val 36110"/>
                          </a:avLst>
                        </a:prstGeom>
                        <a:solidFill>
                          <a:srgbClr val="7030a0"/>
                        </a:solidFill>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7"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7030a0" stroked="f" o:allowincell="f" style="position:absolute;margin-left:113.75pt;margin-top:20.95pt;width:137.65pt;height:34.75pt;flip:xy;mso-wrap-style:none;v-text-anchor:middle;rotation:210" wp14:anchorId="50892506">
                <v:fill o:detectmouseclick="t" type="solid" color2="#8fcf5f"/>
                <v:stroke color="#3465a4" joinstyle="round" endcap="flat"/>
                <v:shadow on="t" obscured="f" color="black"/>
                <w10:wrap type="none"/>
              </v:rect>
            </w:pict>
          </mc:Fallback>
        </mc:AlternateContent>
      </w:r>
      <w:r>
        <w:rPr/>
        <w:drawing>
          <wp:inline distT="0" distB="0" distL="0" distR="0">
            <wp:extent cx="2247900" cy="3248660"/>
            <wp:effectExtent l="0" t="0" r="0" b="0"/>
            <wp:docPr id="8"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84155879" descr="Lagunas de Bolivia | vecinadelpicasso"/>
                    <pic:cNvPicPr>
                      <a:picLocks noChangeAspect="1" noChangeArrowheads="1"/>
                    </pic:cNvPicPr>
                  </pic:nvPicPr>
                  <pic:blipFill>
                    <a:blip r:embed="rId6"/>
                    <a:stretch>
                      <a:fillRect/>
                    </a:stretch>
                  </pic:blipFill>
                  <pic:spPr bwMode="auto">
                    <a:xfrm>
                      <a:off x="0" y="0"/>
                      <a:ext cx="2247900" cy="3248660"/>
                    </a:xfrm>
                    <a:prstGeom prst="rect">
                      <a:avLst/>
                    </a:prstGeom>
                  </pic:spPr>
                </pic:pic>
              </a:graphicData>
            </a:graphic>
          </wp:inline>
        </w:drawing>
      </w:r>
      <w:r>
        <w:rPr/>
        <w:drawing>
          <wp:inline distT="0" distB="0" distL="0" distR="0">
            <wp:extent cx="3398520" cy="2625725"/>
            <wp:effectExtent l="0" t="0" r="0" b="0"/>
            <wp:docPr id="9" name="Imagen 145850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5850023" descr=""/>
                    <pic:cNvPicPr>
                      <a:picLocks noChangeAspect="1" noChangeArrowheads="1"/>
                    </pic:cNvPicPr>
                  </pic:nvPicPr>
                  <pic:blipFill>
                    <a:blip r:embed="rId7"/>
                    <a:stretch>
                      <a:fillRect/>
                    </a:stretch>
                  </pic:blipFill>
                  <pic:spPr bwMode="auto">
                    <a:xfrm>
                      <a:off x="0" y="0"/>
                      <a:ext cx="3398520" cy="2625725"/>
                    </a:xfrm>
                    <a:prstGeom prst="rect">
                      <a:avLst/>
                    </a:prstGeom>
                  </pic:spPr>
                </pic:pic>
              </a:graphicData>
            </a:graphic>
          </wp:inline>
        </w:drawing>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ARCUNI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CHIJMO</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COTAÑA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HUAÑACHACA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HUANCARANI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MOSCOMA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QUEÑUANI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TANGA TANGA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4</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VISCACHANI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VISCOTORO LOMA UTA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6</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CHIJMURI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rPr>
            </w:pPr>
            <w:r>
              <w:rPr>
                <w:rFonts w:eastAsia="Calibri" w:cs="Tahoma" w:ascii="Tahoma" w:hAnsi="Tahoma"/>
                <w:b/>
                <w:bCs/>
                <w:color w:val="FF0000"/>
              </w:rPr>
              <w:t>1</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34</w:t>
            </w:r>
          </w:p>
        </w:tc>
      </w:tr>
    </w:tbl>
    <w:p>
      <w:pPr>
        <w:pStyle w:val="Normal"/>
        <w:jc w:val="both"/>
        <w:rPr>
          <w:rFonts w:ascii="Tahoma" w:hAnsi="Tahoma" w:cs="Tahoma"/>
          <w:i/>
          <w:i/>
          <w:sz w:val="18"/>
          <w:szCs w:val="18"/>
        </w:rPr>
      </w:pPr>
      <w:bookmarkStart w:id="44" w:name="_Hlk112915699"/>
      <w:bookmarkStart w:id="45" w:name="_Hlk126935243"/>
      <w:bookmarkStart w:id="46" w:name="_Hlk158891159"/>
      <w:bookmarkEnd w:id="44"/>
      <w:bookmarkEnd w:id="45"/>
      <w:bookmarkEnd w:id="46"/>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7" w:name="_Hlk158891159"/>
      <w:bookmarkStart w:id="48" w:name="_Hlk162360396"/>
      <w:bookmarkEnd w:id="47"/>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48"/>
    </w:p>
    <w:p>
      <w:pPr>
        <w:pStyle w:val="ListParagraph"/>
        <w:widowControl w:val="false"/>
        <w:numPr>
          <w:ilvl w:val="0"/>
          <w:numId w:val="109"/>
        </w:numPr>
        <w:rPr>
          <w:rFonts w:ascii="Tahoma" w:hAnsi="Tahoma" w:cs="Tahoma"/>
          <w:b/>
          <w:b/>
          <w:bCs/>
          <w:color w:val="FF0000"/>
          <w:kern w:val="2"/>
          <w:szCs w:val="32"/>
        </w:rPr>
      </w:pPr>
      <w:r>
        <w:rPr>
          <w:rFonts w:cs="Tahoma" w:ascii="Tahoma" w:hAnsi="Tahoma"/>
          <w:b/>
          <w:bCs/>
          <w:kern w:val="2"/>
          <w:szCs w:val="32"/>
        </w:rPr>
        <w:t xml:space="preserve">Georreferencia de las viviendas </w:t>
      </w:r>
      <w:r>
        <w:rPr>
          <w:rFonts w:cs="Tahoma" w:ascii="Tahoma" w:hAnsi="Tahoma"/>
          <w:b/>
          <w:bCs/>
          <w:color w:val="FF0000"/>
          <w:kern w:val="2"/>
          <w:szCs w:val="32"/>
        </w:rPr>
        <w:t>(colocar la georreferenciación de las viviendas en el siguiente formato “borrar este aviso entre paréntesis”)</w:t>
      </w:r>
    </w:p>
    <w:tbl>
      <w:tblPr>
        <w:tblW w:w="9323" w:type="dxa"/>
        <w:jc w:val="left"/>
        <w:tblInd w:w="274" w:type="dxa"/>
        <w:tblLayout w:type="fixed"/>
        <w:tblCellMar>
          <w:top w:w="0" w:type="dxa"/>
          <w:left w:w="70" w:type="dxa"/>
          <w:bottom w:w="0" w:type="dxa"/>
          <w:right w:w="70" w:type="dxa"/>
        </w:tblCellMar>
        <w:tblLook w:val="04a0" w:noHBand="0" w:noVBand="1" w:firstColumn="1" w:lastRow="0" w:lastColumn="0" w:firstRow="1"/>
      </w:tblPr>
      <w:tblGrid>
        <w:gridCol w:w="991"/>
        <w:gridCol w:w="1530"/>
        <w:gridCol w:w="1702"/>
        <w:gridCol w:w="850"/>
        <w:gridCol w:w="1000"/>
        <w:gridCol w:w="1691"/>
        <w:gridCol w:w="1558"/>
      </w:tblGrid>
      <w:tr>
        <w:trPr>
          <w:trHeight w:val="510" w:hRule="atLeast"/>
        </w:trPr>
        <w:tc>
          <w:tcPr>
            <w:tcW w:w="991" w:type="dxa"/>
            <w:tcBorders>
              <w:top w:val="single" w:sz="4" w:space="0" w:color="000000"/>
              <w:left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530"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702"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c>
          <w:tcPr>
            <w:tcW w:w="850" w:type="dxa"/>
            <w:tcBorders>
              <w:left w:val="single" w:sz="4" w:space="0" w:color="000000"/>
            </w:tcBorders>
            <w:shd w:color="auto" w:fill="auto" w:val="clear"/>
            <w:vAlign w:val="bottom"/>
          </w:tcPr>
          <w:p>
            <w:pPr>
              <w:pStyle w:val="Normal"/>
              <w:widowControl w:val="false"/>
              <w:jc w:val="center"/>
              <w:rPr>
                <w:rFonts w:ascii="Tahoma" w:hAnsi="Tahoma" w:cs="Tahoma"/>
                <w:b/>
                <w:b/>
                <w:bCs/>
                <w:color w:val="E7E6E6"/>
                <w:lang w:eastAsia="es-BO"/>
              </w:rPr>
            </w:pPr>
            <w:r>
              <w:rPr>
                <w:rFonts w:cs="Tahoma" w:ascii="Tahoma" w:hAnsi="Tahoma"/>
                <w:b/>
                <w:bCs/>
                <w:color w:val="E7E6E6"/>
                <w:lang w:eastAsia="es-BO"/>
              </w:rPr>
            </w:r>
          </w:p>
        </w:tc>
        <w:tc>
          <w:tcPr>
            <w:tcW w:w="1000" w:type="dxa"/>
            <w:tcBorders>
              <w:top w:val="single" w:sz="8" w:space="0" w:color="000000"/>
              <w:left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691" w:type="dxa"/>
            <w:tcBorders>
              <w:top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558" w:type="dxa"/>
            <w:tcBorders>
              <w:top w:val="single" w:sz="8" w:space="0" w:color="000000"/>
              <w:bottom w:val="single" w:sz="4"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-18,0736600</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-66,5352100</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Calibri" w:hAnsi="Calibri"/>
                <w:color w:val="000000"/>
                <w:lang w:eastAsia="es-BO"/>
              </w:rPr>
            </w:pPr>
            <w:r>
              <w:rPr>
                <w:rFonts w:cs="Tahoma" w:ascii="Tahoma" w:hAnsi="Tahoma"/>
                <w:color w:val="000000"/>
              </w:rPr>
              <w:t>18</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-18,0972817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-66,5744517</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2</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-18,074795</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-66,534055</w:t>
            </w:r>
          </w:p>
        </w:tc>
        <w:tc>
          <w:tcPr>
            <w:tcW w:w="850" w:type="dxa"/>
            <w:tcBorders/>
            <w:shd w:color="000000" w:fill="FFFFFF" w:val="clear"/>
          </w:tcPr>
          <w:p>
            <w:pPr>
              <w:pStyle w:val="Normal"/>
              <w:widowControl w:val="false"/>
              <w:ind w:left="257" w:firstLine="257"/>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19</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-18,0976866</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-66,5746275</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3</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-18,0938091</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-66,5393192</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20</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-18,101335</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-66,5590583</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4</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-18,0938091</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-66,5393192</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21</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-18,1015383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-66,5628767</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5</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-18,0799083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-66,5528333</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22</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-18,0924883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-66,6030183</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6</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-18,08037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-66,5528067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23</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-18,0936067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-66,6032183</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7</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-18,0820233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-66,55114</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24</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-18,0900927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-66,602291</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8</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-18,0824597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-66,5504179</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25</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-18,0864767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-66,6111967</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9</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-18,08243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-66,54937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26</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-18.1229192</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-66.605151</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10</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-18.09221800</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-66.53800530</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27</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-18,123775</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-66,6035405</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11</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-18.09221690</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-66.53799960</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28</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-18,1234224</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-66,6033954</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12</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-18,0942967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-66,5439517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29</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-18,1321917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-66,6456395</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13</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-18,094814</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-66,5450248</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30</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-18,1317411</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-66,6454615</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14</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-18,0954112</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-66,5450529</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31</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-18,1318016</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-66,6458642</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15</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-18,08193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-66,55124</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32</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-18,1316199</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-66,640321</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16</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-18,08601</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-66,5690867</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33</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-18,132357</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-66,6415718</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17</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-18,0860583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-66,57103</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34</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-18,1349617</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-66,6403107</w:t>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9" w:name="_Hlk112915699"/>
      <w:bookmarkStart w:id="50" w:name="_Hlk126935243"/>
      <w:bookmarkStart w:id="51" w:name="_Toc71811148"/>
      <w:bookmarkEnd w:id="49"/>
      <w:bookmarkEnd w:id="50"/>
      <w:r>
        <w:rPr>
          <w:rFonts w:cs="Tahoma" w:ascii="Tahoma" w:hAnsi="Tahoma"/>
          <w:b/>
          <w:bCs/>
          <w:color w:val="000000"/>
          <w:kern w:val="2"/>
          <w:lang w:val="es-ES_tradnl"/>
        </w:rPr>
        <w:t>ACCESO A LAS COMUNIDADES O BARRIO/ZONA/URBANIZACIÓN/JUNTA VECINAL BENEFICIADAS</w:t>
      </w:r>
      <w:bookmarkEnd w:id="51"/>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7"/>
        <w:gridCol w:w="1081"/>
        <w:gridCol w:w="752"/>
        <w:gridCol w:w="2235"/>
        <w:gridCol w:w="1658"/>
        <w:gridCol w:w="1058"/>
        <w:gridCol w:w="1895"/>
      </w:tblGrid>
      <w:tr>
        <w:trPr>
          <w:trHeight w:val="266" w:hRule="atLeast"/>
        </w:trPr>
        <w:tc>
          <w:tcPr>
            <w:tcW w:w="39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08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987" w:type="dxa"/>
            <w:gridSpan w:val="2"/>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658"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0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9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lang w:val="es-ES_tradnl"/>
              </w:rPr>
              <w:t xml:space="preserve">POTOSÍ </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CENTRO POBLADO DE CARIPUYO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282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 xml:space="preserve">5 hrs 30 min </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Asfalto - Tierra</w:t>
            </w:r>
          </w:p>
        </w:tc>
      </w:tr>
      <w:tr>
        <w:trPr>
          <w:trHeight w:val="1"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CARIPUYO</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QUEÑUANI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30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 xml:space="preserve">1 hora </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QUEÑUANI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ARCUNI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2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QUEÑUANI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MOSCOMA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5.5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13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lang w:val="es-ES_tradnl"/>
              </w:rPr>
              <w:t>MOSCOMA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TANGA TANGA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5.4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13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TANGA TANGA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COTAÑA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3.3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8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COTAÑA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VISCACHANI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1.8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4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VISCACHANI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CHIJMO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4.7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11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VISCACHANI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VISCOTORO LOMA UTA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2.5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6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COTAÑA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HUANCARANI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2.3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6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CRUCE JANKHO JANKHO</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HUAÑACHACA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1.7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HUAÑACHACA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CHIJMURI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1.8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20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tierra</w:t>
            </w:r>
          </w:p>
        </w:tc>
      </w:tr>
    </w:tbl>
    <w:p>
      <w:pPr>
        <w:pStyle w:val="Normal"/>
        <w:rPr>
          <w:rFonts w:ascii="Tahoma" w:hAnsi="Tahoma" w:cs="Tahoma"/>
          <w:bCs/>
          <w:i/>
          <w:i/>
          <w:iCs/>
        </w:rPr>
      </w:pPr>
      <w:r>
        <w:rPr>
          <w:rFonts w:cs="Tahoma" w:ascii="Tahoma" w:hAnsi="Tahoma"/>
          <w:bCs/>
          <w:i/>
          <w:iCs/>
        </w:rPr>
      </w:r>
      <w:bookmarkStart w:id="52" w:name="_Toc49530406"/>
      <w:bookmarkStart w:id="53" w:name="_Toc49531233"/>
      <w:bookmarkStart w:id="54" w:name="_Toc100250568"/>
      <w:bookmarkStart w:id="55" w:name="_Toc71811149"/>
      <w:bookmarkStart w:id="56" w:name="_Toc49530406"/>
      <w:bookmarkStart w:id="57" w:name="_Toc49531233"/>
      <w:bookmarkStart w:id="58" w:name="_Toc100250568"/>
      <w:bookmarkStart w:id="59" w:name="_Toc71811149"/>
    </w:p>
    <w:p>
      <w:pPr>
        <w:pStyle w:val="ListParagraph"/>
        <w:widowControl w:val="false"/>
        <w:numPr>
          <w:ilvl w:val="0"/>
          <w:numId w:val="46"/>
        </w:numPr>
        <w:rPr>
          <w:rFonts w:ascii="Tahoma" w:hAnsi="Tahoma" w:cs="Tahoma"/>
          <w:bCs/>
          <w:i/>
          <w:i/>
          <w:iCs/>
        </w:rPr>
      </w:pPr>
      <w:bookmarkStart w:id="60" w:name="_Toc49530406"/>
      <w:bookmarkStart w:id="61" w:name="_Toc49531233"/>
      <w:bookmarkStart w:id="62"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60"/>
      <w:bookmarkEnd w:id="61"/>
      <w:bookmarkEnd w:id="62"/>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9"/>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CARIPUYO</w:t>
      </w:r>
      <w:r>
        <w:rPr>
          <w:rFonts w:cs="Tahoma" w:ascii="Tahoma" w:hAnsi="Tahoma"/>
          <w:b/>
        </w:rPr>
        <w:t xml:space="preserve"> – FASE (</w:t>
      </w:r>
      <w:r>
        <w:rPr>
          <w:rFonts w:cs="Tahoma" w:ascii="Tahoma" w:hAnsi="Tahoma"/>
          <w:b/>
          <w:color w:val="FF0000"/>
        </w:rPr>
        <w:t>VIII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6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68</w:t>
      </w:r>
      <w:r>
        <w:rPr>
          <w:rFonts w:cs="Tahoma" w:ascii="Tahoma" w:hAnsi="Tahoma"/>
          <w:lang w:val="es-ES_tradnl"/>
        </w:rPr>
        <w:t xml:space="preserve"> beneficiarios emitidos por Derechos Reales, correspondientes al presente proyecto.</w:t>
      </w:r>
      <w:bookmarkEnd w:id="63"/>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0"/>
      <w:r>
        <w:rPr>
          <w:rFonts w:cs="Tahoma" w:ascii="Tahoma" w:hAnsi="Tahoma"/>
          <w:b/>
          <w:bCs/>
          <w:color w:val="000000"/>
          <w:kern w:val="2"/>
          <w:lang w:val="es-ES_tradnl"/>
        </w:rPr>
        <w:t>ALCANCE DE LA CONSULTORÍA.</w:t>
      </w:r>
      <w:bookmarkEnd w:id="6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426" w:hanging="360"/>
        <w:contextualSpacing/>
        <w:jc w:val="both"/>
        <w:rPr>
          <w:rFonts w:ascii="Tahoma" w:hAnsi="Tahoma" w:cs="Tahoma"/>
          <w:color w:val="000000"/>
          <w:lang w:val="es-ES_tradnl"/>
        </w:rPr>
      </w:pPr>
      <w:bookmarkStart w:id="65" w:name="_Hlk170292260"/>
      <w:bookmarkStart w:id="66" w:name="_Hlk170292239"/>
      <w:r>
        <w:rPr>
          <w:rFonts w:cs="Tahoma" w:ascii="Tahoma" w:hAnsi="Tahoma"/>
          <w:lang w:val="es-ES_tradnl"/>
        </w:rPr>
        <w:t xml:space="preserve">Capacitar y Comunicar a los beneficiarios para el inicio de los tramites de los certificados </w:t>
      </w:r>
      <w:bookmarkEnd w:id="66"/>
      <w:r>
        <w:rPr>
          <w:rFonts w:cs="Tahoma" w:ascii="Tahoma" w:hAnsi="Tahoma"/>
          <w:lang w:val="es-ES_tradnl"/>
        </w:rPr>
        <w:t>de no Propiedad previo a la ejecución física de la obra.</w:t>
      </w:r>
      <w:bookmarkEnd w:id="65"/>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7"/>
      <w:r>
        <w:rPr>
          <w:rFonts w:cs="Tahoma" w:ascii="Tahoma" w:hAnsi="Tahoma"/>
          <w:lang w:val="es-ES_tradnl"/>
        </w:rPr>
        <w:t>, mediante visitas al sitio, aprobado por el Inspector</w:t>
      </w:r>
      <w:bookmarkStart w:id="68" w:name="_Hlk113371329"/>
      <w:r>
        <w:rPr>
          <w:rFonts w:cs="Tahoma" w:ascii="Tahoma" w:hAnsi="Tahoma"/>
          <w:lang w:val="es-ES_tradnl"/>
        </w:rPr>
        <w:t xml:space="preserve"> y validado por el Fiscal del Proyecto, previo acompañamiento.</w:t>
      </w:r>
      <w:bookmarkEnd w:id="68"/>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bookmarkStart w:id="69" w:name="_Hlk146287105"/>
      <w:bookmarkStart w:id="70"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9"/>
      <w:bookmarkEnd w:id="70"/>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71" w:name="_Hlk145577011"/>
      <w:bookmarkStart w:id="7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71"/>
      <w:bookmarkEnd w:id="72"/>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73" w:name="_Hlk126076405"/>
      <w:bookmarkEnd w:id="73"/>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4" w:name="_Hlk126076662"/>
      <w:r>
        <w:rPr>
          <w:rFonts w:cs="Tahoma" w:ascii="Tahoma" w:hAnsi="Tahoma"/>
          <w:lang w:val="es-ES_tradnl"/>
        </w:rPr>
        <w:t xml:space="preserve">en la implantación de </w:t>
      </w:r>
      <w:bookmarkEnd w:id="7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9"/>
        </w:numPr>
        <w:spacing w:lineRule="atLeast" w:line="260" w:before="0" w:after="0"/>
        <w:ind w:left="284" w:hanging="283"/>
        <w:contextualSpacing/>
        <w:jc w:val="both"/>
        <w:rPr>
          <w:rFonts w:ascii="Tahoma" w:hAnsi="Tahoma" w:cs="Tahoma"/>
          <w:lang w:val="es-ES_tradnl"/>
        </w:rPr>
      </w:pPr>
      <w:bookmarkStart w:id="75" w:name="_Hlk126076405"/>
      <w:bookmarkStart w:id="76" w:name="_Hlk158992313"/>
      <w:bookmarkEnd w:id="75"/>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76"/>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7" w:name="_Hlk126076967"/>
      <w:r>
        <w:rPr>
          <w:rFonts w:cs="Tahoma" w:ascii="Tahoma" w:hAnsi="Tahoma"/>
          <w:color w:val="000000"/>
          <w:lang w:val="es-ES_tradnl"/>
        </w:rPr>
        <w:t xml:space="preserve">cantidades asignadas </w:t>
      </w:r>
      <w:bookmarkEnd w:id="77"/>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1"/>
      <w:r>
        <w:rPr>
          <w:rFonts w:cs="Tahoma" w:ascii="Tahoma" w:hAnsi="Tahoma"/>
          <w:b/>
          <w:bCs/>
          <w:color w:val="000000"/>
          <w:kern w:val="2"/>
          <w:lang w:val="es-ES_tradnl"/>
        </w:rPr>
        <w:t>FASES DE LA CONSULTORÍA.</w:t>
      </w:r>
      <w:bookmarkEnd w:id="7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2" wp14:anchorId="767E1C7F">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67E1C7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4" wp14:anchorId="485A48B1">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85A48B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3E941FAA">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E941FA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7" wp14:anchorId="7E2384D3">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E2384D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8" wp14:anchorId="58644AEC">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8644AE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PLAZO DE EJECUCIÓN DE LA CONSULTORÍA</w:t>
      </w:r>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CRONOGRAMA DE PLAZOS DE LA CONSULTORÍA</w:t>
      </w:r>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5" wp14:anchorId="4D3487E8">
                      <wp:simplePos x="0" y="0"/>
                      <wp:positionH relativeFrom="column">
                        <wp:posOffset>-3175</wp:posOffset>
                      </wp:positionH>
                      <wp:positionV relativeFrom="paragraph">
                        <wp:posOffset>161290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9" wp14:anchorId="43EE131E">
                      <wp:simplePos x="0" y="0"/>
                      <wp:positionH relativeFrom="column">
                        <wp:posOffset>548005</wp:posOffset>
                      </wp:positionH>
                      <wp:positionV relativeFrom="paragraph">
                        <wp:posOffset>248285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43EE131E"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3" wp14:anchorId="2B114391">
                      <wp:simplePos x="0" y="0"/>
                      <wp:positionH relativeFrom="column">
                        <wp:posOffset>544830</wp:posOffset>
                      </wp:positionH>
                      <wp:positionV relativeFrom="paragraph">
                        <wp:posOffset>184785</wp:posOffset>
                      </wp:positionV>
                      <wp:extent cx="539750" cy="162560"/>
                      <wp:effectExtent l="19050" t="19050" r="31750" b="66040"/>
                      <wp:wrapNone/>
                      <wp:docPr id="20"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60% de ejecución física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4" wp14:anchorId="20D0251E">
                      <wp:simplePos x="0" y="0"/>
                      <wp:positionH relativeFrom="column">
                        <wp:posOffset>1084580</wp:posOffset>
                      </wp:positionH>
                      <wp:positionV relativeFrom="paragraph">
                        <wp:posOffset>176530</wp:posOffset>
                      </wp:positionV>
                      <wp:extent cx="539750" cy="162560"/>
                      <wp:effectExtent l="19050" t="19050" r="31750" b="66040"/>
                      <wp:wrapNone/>
                      <wp:docPr id="21"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8" wp14:anchorId="072E2F6E">
                      <wp:simplePos x="0" y="0"/>
                      <wp:positionH relativeFrom="column">
                        <wp:posOffset>1087755</wp:posOffset>
                      </wp:positionH>
                      <wp:positionV relativeFrom="paragraph">
                        <wp:posOffset>-193675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072E2F6E"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30" wp14:anchorId="39EDDDB0">
                      <wp:simplePos x="0" y="0"/>
                      <wp:positionH relativeFrom="column">
                        <wp:posOffset>1633220</wp:posOffset>
                      </wp:positionH>
                      <wp:positionV relativeFrom="paragraph">
                        <wp:posOffset>285750</wp:posOffset>
                      </wp:positionV>
                      <wp:extent cx="828040" cy="192405"/>
                      <wp:effectExtent l="19685" t="20320" r="32385" b="44450"/>
                      <wp:wrapNone/>
                      <wp:docPr id="23"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33" wp14:anchorId="17DE0665">
                      <wp:simplePos x="0" y="0"/>
                      <wp:positionH relativeFrom="column">
                        <wp:posOffset>1634490</wp:posOffset>
                      </wp:positionH>
                      <wp:positionV relativeFrom="paragraph">
                        <wp:posOffset>-250825</wp:posOffset>
                      </wp:positionV>
                      <wp:extent cx="635" cy="734695"/>
                      <wp:effectExtent l="47625" t="16510" r="47625" b="0"/>
                      <wp:wrapNone/>
                      <wp:docPr id="24"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17DE0665"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26" wp14:anchorId="253A291D">
                      <wp:simplePos x="0" y="0"/>
                      <wp:positionH relativeFrom="column">
                        <wp:posOffset>5080</wp:posOffset>
                      </wp:positionH>
                      <wp:positionV relativeFrom="paragraph">
                        <wp:posOffset>136525</wp:posOffset>
                      </wp:positionV>
                      <wp:extent cx="2484120" cy="211455"/>
                      <wp:effectExtent l="19685" t="20320" r="32385" b="44450"/>
                      <wp:wrapNone/>
                      <wp:docPr id="25"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1" wp14:anchorId="442DF096">
                      <wp:simplePos x="0" y="0"/>
                      <wp:positionH relativeFrom="column">
                        <wp:posOffset>2520950</wp:posOffset>
                      </wp:positionH>
                      <wp:positionV relativeFrom="paragraph">
                        <wp:posOffset>118745</wp:posOffset>
                      </wp:positionV>
                      <wp:extent cx="263525" cy="194310"/>
                      <wp:effectExtent l="0" t="0" r="0" b="0"/>
                      <wp:wrapNone/>
                      <wp:docPr id="26" name="Cuadro de texto 541224366"/>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541224366" path="m0,0l-2147483645,0l-2147483645,-2147483646l0,-2147483646xe" stroked="f" o:allowincell="f" style="position:absolute;margin-left:198.5pt;margin-top:9.35pt;width:20.7pt;height:15.25pt;mso-wrap-style:square;v-text-anchor:top" wp14:anchorId="442DF09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7" wp14:anchorId="3A4EE408">
                      <wp:simplePos x="0" y="0"/>
                      <wp:positionH relativeFrom="column">
                        <wp:posOffset>2495550</wp:posOffset>
                      </wp:positionH>
                      <wp:positionV relativeFrom="paragraph">
                        <wp:posOffset>-330835</wp:posOffset>
                      </wp:positionV>
                      <wp:extent cx="635" cy="1296035"/>
                      <wp:effectExtent l="47625" t="16510" r="47625" b="0"/>
                      <wp:wrapNone/>
                      <wp:docPr id="28"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3A4EE408"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A la </w:t>
            </w:r>
            <w:r>
              <w:rPr>
                <w:rFonts w:cs="Tahoma" w:ascii="Tahoma" w:hAnsi="Tahoma"/>
                <w:b/>
                <w:bCs/>
                <w:sz w:val="18"/>
                <w:szCs w:val="18"/>
              </w:rPr>
              <w:t>Recepción Definitiva</w:t>
            </w:r>
            <w:r>
              <w:rPr>
                <w:rFonts w:cs="Tahoma" w:ascii="Tahoma" w:hAnsi="Tahoma"/>
                <w:sz w:val="18"/>
                <w:szCs w:val="18"/>
              </w:rPr>
              <w:t xml:space="preserve"> </w:t>
            </w:r>
            <w:r>
              <w:rPr>
                <w:rFonts w:cs="Tahoma" w:ascii="Tahoma" w:hAnsi="Tahoma"/>
                <w:sz w:val="18"/>
                <w:szCs w:val="18"/>
                <w:lang w:val="es-ES_tradnl"/>
              </w:rPr>
              <w:t>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sz w:val="14"/>
                <w:szCs w:val="14"/>
                <w:highlight w:val="green"/>
              </w:rPr>
            </w:pPr>
            <w:r>
              <w:rPr>
                <w:rFonts w:cs="Tahoma" w:ascii="Tahoma" w:hAnsi="Tahoma"/>
                <w:color w:val="FF0000"/>
              </w:rPr>
              <w:t>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36" wp14:anchorId="3F87919E">
                      <wp:simplePos x="0" y="0"/>
                      <wp:positionH relativeFrom="column">
                        <wp:posOffset>3926840</wp:posOffset>
                      </wp:positionH>
                      <wp:positionV relativeFrom="paragraph">
                        <wp:posOffset>188595</wp:posOffset>
                      </wp:positionV>
                      <wp:extent cx="539750" cy="162560"/>
                      <wp:effectExtent l="19050" t="19050" r="31750" b="66040"/>
                      <wp:wrapNone/>
                      <wp:docPr id="29"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7" wp14:anchorId="551FEA60">
                      <wp:simplePos x="0" y="0"/>
                      <wp:positionH relativeFrom="column">
                        <wp:posOffset>39370</wp:posOffset>
                      </wp:positionH>
                      <wp:positionV relativeFrom="paragraph">
                        <wp:posOffset>259715</wp:posOffset>
                      </wp:positionV>
                      <wp:extent cx="3060065" cy="172085"/>
                      <wp:effectExtent l="20320" t="20320" r="31750" b="44450"/>
                      <wp:wrapNone/>
                      <wp:docPr id="30"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4" wp14:anchorId="0833AD3C">
                      <wp:simplePos x="0" y="0"/>
                      <wp:positionH relativeFrom="column">
                        <wp:posOffset>2979420</wp:posOffset>
                      </wp:positionH>
                      <wp:positionV relativeFrom="paragraph">
                        <wp:posOffset>58420</wp:posOffset>
                      </wp:positionV>
                      <wp:extent cx="343535" cy="194310"/>
                      <wp:effectExtent l="0" t="0" r="0" b="0"/>
                      <wp:wrapNone/>
                      <wp:docPr id="31" name="Cuadro de texto 353189164"/>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53189164" path="m0,0l-2147483645,0l-2147483645,-2147483646l0,-2147483646xe" stroked="f" o:allowincell="f" style="position:absolute;margin-left:234.6pt;margin-top:4.6pt;width:27pt;height:15.25pt;mso-wrap-style:square;v-text-anchor:top" wp14:anchorId="0833AD3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del Proyecto se encuentre en fin de semana o feriado este deberá ser presentado el primer día hábil)</w:t>
      </w:r>
    </w:p>
    <w:p>
      <w:pPr>
        <w:pStyle w:val="Normal"/>
        <w:spacing w:lineRule="atLeast" w:line="240"/>
        <w:ind w:left="42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PRECIO REFERENCIAL</w:t>
      </w:r>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2.382.765,30 (Dos Millones Trescientos Ochenta y Dos Mil Setecientos Sesenta y Cinco 30/100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FORMA DE PAGO.</w:t>
      </w:r>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319"/>
        <w:gridCol w:w="930"/>
        <w:gridCol w:w="1508"/>
        <w:gridCol w:w="1362"/>
        <w:gridCol w:w="2687"/>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548"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2"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8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211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38"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2"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8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8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40.410,47</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791.464,25</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lang w:eastAsia="es-ES"/>
              </w:rPr>
            </w:pPr>
            <w:r>
              <w:rPr>
                <w:rFonts w:cs="Tahoma" w:ascii="Tahoma" w:hAnsi="Tahoma"/>
                <w:b/>
                <w:bCs/>
                <w:color w:val="FF0000"/>
                <w:sz w:val="16"/>
                <w:szCs w:val="16"/>
              </w:rPr>
              <w:t>831.874,72</w:t>
            </w:r>
          </w:p>
        </w:tc>
        <w:tc>
          <w:tcPr>
            <w:tcW w:w="268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80.820,94</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593.598,19</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674.419,13</w:t>
            </w:r>
          </w:p>
        </w:tc>
        <w:tc>
          <w:tcPr>
            <w:tcW w:w="268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80.820,94</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593.598,18</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674.419,12</w:t>
            </w:r>
          </w:p>
        </w:tc>
        <w:tc>
          <w:tcPr>
            <w:tcW w:w="268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80.820,94</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80.820,94</w:t>
            </w:r>
          </w:p>
        </w:tc>
        <w:tc>
          <w:tcPr>
            <w:tcW w:w="268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121.231,39</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121.231,39</w:t>
            </w:r>
          </w:p>
        </w:tc>
        <w:tc>
          <w:tcPr>
            <w:tcW w:w="268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404.104,68</w:t>
            </w:r>
          </w:p>
        </w:tc>
        <w:tc>
          <w:tcPr>
            <w:tcW w:w="9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0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1.978.660,62</w:t>
            </w:r>
          </w:p>
        </w:tc>
        <w:tc>
          <w:tcPr>
            <w:tcW w:w="136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2.382.765,30</w:t>
            </w:r>
          </w:p>
        </w:tc>
        <w:tc>
          <w:tcPr>
            <w:tcW w:w="268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SEGUROS</w:t>
      </w:r>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Estos seguros deberán presentarse al Fiscal del Proyecto hasta los 5 días hábiles 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PAGO DE IMPUESTOS</w:t>
      </w:r>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APORTES AL SISTEMA INTEGRADO DE PENSIONES</w:t>
      </w:r>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GARANTÍAS</w:t>
      </w:r>
    </w:p>
    <w:p>
      <w:pPr>
        <w:pStyle w:val="Normal"/>
        <w:jc w:val="both"/>
        <w:rPr>
          <w:rFonts w:ascii="Tahoma" w:hAnsi="Tahoma" w:cs="Tahoma"/>
          <w:lang w:eastAsia="es-BO"/>
        </w:rPr>
      </w:pPr>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r>
        <w:rPr>
          <w:rFonts w:cs="Tahoma" w:ascii="Tahoma" w:hAnsi="Tahoma"/>
          <w:b/>
          <w:lang w:val="es-ES_tradnl"/>
        </w:rPr>
        <w:t>GARANTÍA DE SERIEDAD DE PROPUESTA:</w:t>
      </w:r>
    </w:p>
    <w:p>
      <w:pPr>
        <w:pStyle w:val="Normal"/>
        <w:spacing w:lineRule="atLeast" w:line="260"/>
        <w:jc w:val="both"/>
        <w:rPr>
          <w:rFonts w:ascii="Tahoma" w:hAnsi="Tahoma" w:cs="Tahoma"/>
          <w:lang w:eastAsia="es-BO"/>
        </w:rPr>
      </w:pPr>
      <w:r>
        <w:rPr>
          <w:rFonts w:cs="Tahoma" w:ascii="Tahoma" w:hAnsi="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pPr>
        <w:pStyle w:val="Normal"/>
        <w:spacing w:lineRule="atLeast" w:line="260"/>
        <w:jc w:val="both"/>
        <w:rPr>
          <w:rFonts w:ascii="Tahoma" w:hAnsi="Tahoma" w:cs="Tahoma"/>
          <w:lang w:eastAsia="es-BO"/>
        </w:rPr>
      </w:pPr>
      <w:r>
        <w:rPr>
          <w:rFonts w:cs="Tahoma" w:ascii="Tahoma" w:hAnsi="Tahoma"/>
          <w:lang w:eastAsia="es-BO"/>
        </w:rPr>
        <w:t xml:space="preserve">La vigencia de esta garantía deberá tener noventa (90) días calendario a partir de la apertura de la propuesta establecida en el DCD. </w:t>
      </w:r>
    </w:p>
    <w:p>
      <w:pPr>
        <w:pStyle w:val="Normal"/>
        <w:spacing w:lineRule="atLeast" w:line="260"/>
        <w:jc w:val="both"/>
        <w:rPr>
          <w:rFonts w:ascii="Tahoma" w:hAnsi="Tahoma" w:cs="Tahoma"/>
          <w:lang w:eastAsia="es-BO"/>
        </w:rPr>
      </w:pPr>
      <w:r>
        <w:rPr>
          <w:rFonts w:cs="Tahoma" w:ascii="Tahoma" w:hAnsi="Tahoma"/>
          <w:lang w:eastAsia="es-BO"/>
        </w:rPr>
        <w:t>La Garantía de Seriedad de Propuesta será devuelta conforme a lo establecido en el DCD.</w:t>
      </w:r>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r>
        <w:rPr>
          <w:rFonts w:cs="Tahoma" w:ascii="Tahoma" w:hAnsi="Tahoma"/>
          <w:b/>
          <w:bCs/>
          <w:color w:val="000000"/>
          <w:kern w:val="2"/>
          <w:lang w:val="es-ES_tradnl"/>
        </w:rPr>
        <w:t>GARANTÍA DE CUMPLIMIENTO DE CONTRATO</w:t>
      </w:r>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r>
        <w:rPr>
          <w:rFonts w:eastAsia="Calibri" w:cs="Tahoma" w:ascii="Tahoma" w:hAnsi="Tahoma"/>
          <w:lang w:eastAsia="es-BO"/>
        </w:rPr>
        <w:t>La garantía, será devuelta a la Entidad Ejecutora, una vez que se cuente con el pago final del servicio de consultoría.</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r>
        <w:rPr>
          <w:rFonts w:cs="Tahoma" w:ascii="Tahoma" w:hAnsi="Tahoma"/>
          <w:b/>
          <w:bCs/>
          <w:color w:val="000000"/>
          <w:kern w:val="2"/>
          <w:lang w:val="es-ES_tradnl"/>
        </w:rPr>
        <w:t>GARANTÍA DE CORRECTA INVERSIÓN DE ANTICIPO PARA EL COMPONENTE DE PROVISIÓN/DOTACIÓN DE MATERIALES DE CONSTRUCCIÓN</w:t>
      </w:r>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LIBERACIÓN DE GARANTÍA DE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MULTAS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r>
        <w:rPr>
          <w:rFonts w:cs="Tahoma" w:ascii="Tahoma" w:hAnsi="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5"/>
        </w:numPr>
        <w:spacing w:lineRule="auto" w:line="276" w:before="0" w:after="0"/>
        <w:ind w:left="567" w:hanging="360"/>
        <w:contextualSpacing/>
        <w:jc w:val="both"/>
        <w:rPr>
          <w:rFonts w:ascii="Tahoma" w:hAnsi="Tahoma" w:cs="Tahoma"/>
        </w:rPr>
      </w:pPr>
      <w:r>
        <w:rPr>
          <w:rFonts w:eastAsia="Calibri" w:cs="Tahoma" w:ascii="Tahoma" w:hAnsi="Tahoma"/>
          <w:b/>
          <w:iCs/>
        </w:rPr>
        <w:t>Resolución de Contrato:</w:t>
      </w:r>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r>
        <w:rPr>
          <w:rFonts w:cs="Tahoma" w:ascii="Tahoma" w:hAnsi="Tahoma"/>
          <w:b/>
          <w:bCs/>
          <w:color w:val="000000"/>
          <w:kern w:val="2"/>
          <w:lang w:val="es-ES_tradnl"/>
        </w:rPr>
        <w:t>MODIFICACIONES AL CONTRATO</w:t>
      </w:r>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r>
        <w:rPr>
          <w:rFonts w:cs="Tahoma" w:ascii="Tahoma" w:hAnsi="Tahoma"/>
          <w:lang w:val="es-ES_tradnl"/>
        </w:rPr>
        <w:t>El contrato modificatorio podrá presentarse hasta 10 días calendario antes de la recepción provisional del proyecto.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directa 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INFORMES / PRODUCTOS ESPERADOS:</w:t>
      </w:r>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8"/>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8"/>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posteriores a la recepción de la solicitud.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r>
        <w:rPr>
          <w:rFonts w:cs="Tahoma" w:ascii="Tahoma" w:hAnsi="Tahoma"/>
        </w:rPr>
        <w:t>Se debe mencionar que, una vez entregado el penúltimo producto se dará inicio al periodo contractual del plazo para el ultimo producto.</w:t>
      </w:r>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posteriores a la recepción de la solicitud.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r>
        <w:rPr>
          <w:rFonts w:cs="Tahoma" w:ascii="Tahoma" w:hAnsi="Tahoma"/>
          <w:szCs w:val="16"/>
          <w:lang w:val="es-ES_tradnl"/>
        </w:rPr>
        <w:t xml:space="preserve">Actas de Recepción Individual a los beneficiarios (3 ejemplares originales más fotocopia de carnet de identidad del titular y del cónyuge vigentes). </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PERFIL DEL PROPONENTE</w:t>
      </w:r>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0"/>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0"/>
        </w:numPr>
        <w:spacing w:lineRule="atLeast" w:line="260"/>
        <w:jc w:val="both"/>
        <w:rPr>
          <w:rFonts w:ascii="Tahoma" w:hAnsi="Tahoma" w:cs="Tahoma"/>
        </w:rPr>
      </w:pPr>
      <w:r>
        <w:rPr>
          <w:rFonts w:cs="Tahoma" w:ascii="Tahoma" w:hAnsi="Tahoma"/>
        </w:rPr>
        <w:t xml:space="preserve">Para la experiencia con particulares, debe presentar Contrato notariado con documento de respaldo de conclusión.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PERSONAL REQUERIDO</w:t>
      </w:r>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La experiencia del personal será computada considerando el conjunto de contratos en los cuales el profesional ha 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6"/>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Para Técnico Medio o Superior</w:t>
      </w:r>
      <w:r>
        <w:rPr>
          <w:rFonts w:cs="Tahoma" w:ascii="Tahoma" w:hAnsi="Tahoma"/>
        </w:rPr>
        <w:t xml:space="preserve"> la experiencia será tomada en cuenta a partir desde la obtención de su título profesional respectivamente.</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el reemplazante deberá tener un perfil igual o mayor al profesional ofertado en su propuesta.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MOSCOMA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VISCOTORO LOMA UTA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r>
        <w:rPr>
          <w:rFonts w:cs="Tahoma" w:ascii="Tahoma" w:hAnsi="Tahoma"/>
          <w:b/>
          <w:bCs/>
          <w:color w:val="000000"/>
          <w:kern w:val="2"/>
          <w:lang w:val="es-ES_tradnl"/>
        </w:rPr>
        <w:t>EQUIPO, MAQUINARIA, VEHÍCULOS Y OTROS</w:t>
      </w:r>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HERRAMIENTAS E INSUMOS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CONTROL Y SEGUIMIENTO DE LA CONSULTORÍA</w:t>
      </w:r>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ofertadas por la Entidad Ejecutora.</w:t>
      </w:r>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r>
        <w:rPr>
          <w:rFonts w:cs="Tahoma" w:ascii="Tahoma" w:hAnsi="Tahoma"/>
          <w:color w:val="000000"/>
          <w:lang w:val="es-ES_tradnl"/>
        </w:rPr>
        <w:t xml:space="preserve"> </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r>
        <w:rPr>
          <w:rFonts w:cs="Tahoma" w:ascii="Tahoma" w:hAnsi="Tahoma"/>
          <w:b/>
          <w:bCs/>
          <w:color w:val="000000"/>
          <w:kern w:val="2"/>
          <w:lang w:val="es-ES_tradnl"/>
        </w:rPr>
        <w:t>DETALLE REFERENCIAL DE LOS COMPONENTES (PROVISIÓN Y DOTACIÓN DE MATERIALES DE CONSTRUCCIÓN Y APORTE PROPIO).</w:t>
      </w:r>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87"/>
        <w:gridCol w:w="4433"/>
        <w:gridCol w:w="1270"/>
        <w:gridCol w:w="1951"/>
      </w:tblGrid>
      <w:tr>
        <w:trPr>
          <w:trHeight w:val="972" w:hRule="atLeast"/>
        </w:trPr>
        <w:tc>
          <w:tcPr>
            <w:tcW w:w="98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443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DESCRIPCIÓN DE ÍTEMS/INSUMOS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w:t>
            </w:r>
          </w:p>
        </w:tc>
        <w:tc>
          <w:tcPr>
            <w:tcW w:w="443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311,10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253,19</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884,00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3.848,00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3.594,00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val="it-IT"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167,45</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115,04</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162,74</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396,00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1.046,00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600,00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600,00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57,80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2.394,54</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556,00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161,05</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994,34</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14.960,55</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3.785,57</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2.566,98</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205,33</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29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1.806,26</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122,10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376,85</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228,26</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311,10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39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442,00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235,52</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298,66</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ESQUINERO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1.896,58</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93,19</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1.020,54</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818,12</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49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112,87</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170,00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302,00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96.112,50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24.752,00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59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615,92</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5.585,78</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3.568,02</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7.718,11</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474,20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315,35</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69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302,00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27,36</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2.060,50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278,00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59,91</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79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710,52</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139,40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89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90</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91</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298,00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92</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166,00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93</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933,30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94</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1.030,54</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95</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3.589,00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96</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97</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326,66</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98</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612,00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99</w:t>
            </w:r>
          </w:p>
        </w:tc>
        <w:tc>
          <w:tcPr>
            <w:tcW w:w="443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303,26</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rPr>
              <w:t>100</w:t>
            </w:r>
          </w:p>
        </w:tc>
        <w:tc>
          <w:tcPr>
            <w:tcW w:w="4433" w:type="dxa"/>
            <w:tcBorders>
              <w:left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YEE PVC DESAGÜE 4" A 2"</w:t>
            </w:r>
          </w:p>
        </w:tc>
        <w:tc>
          <w:tcPr>
            <w:tcW w:w="1270" w:type="dxa"/>
            <w:tcBorders>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68,00</w:t>
            </w:r>
          </w:p>
        </w:tc>
      </w:tr>
      <w:tr>
        <w:trPr>
          <w:trHeight w:val="55" w:hRule="atLeast"/>
        </w:trPr>
        <w:tc>
          <w:tcPr>
            <w:tcW w:w="987"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101</w:t>
            </w:r>
          </w:p>
        </w:tc>
        <w:tc>
          <w:tcPr>
            <w:tcW w:w="443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color w:val="000000"/>
                <w:sz w:val="18"/>
                <w:szCs w:val="18"/>
              </w:rPr>
              <w:t>YESO</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color w:val="000000"/>
                <w:sz w:val="18"/>
                <w:szCs w:val="18"/>
              </w:rPr>
              <w:t>KG</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rPr>
            </w:pPr>
            <w:r>
              <w:rPr>
                <w:rFonts w:cs="Tahoma" w:ascii="Tahoma" w:hAnsi="Tahoma"/>
                <w:color w:val="000000"/>
                <w:sz w:val="18"/>
                <w:szCs w:val="18"/>
              </w:rPr>
              <w:t>54.327,06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404.104,68</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PLANILLA DE INSUMOS OPERATIVOS DE LA ENTIDAD EJECUTORA</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61"/>
        <w:gridCol w:w="1191"/>
        <w:gridCol w:w="1301"/>
      </w:tblGrid>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szCs w:val="18"/>
                <w:lang w:eastAsia="es-BO"/>
              </w:rPr>
            </w:pPr>
            <w:r>
              <w:rPr>
                <w:rFonts w:cs="Calibri" w:ascii="Calibri" w:hAnsi="Calibri"/>
                <w:color w:val="000000"/>
                <w:sz w:val="18"/>
                <w:szCs w:val="18"/>
                <w:lang w:eastAsia="es-BO"/>
              </w:rPr>
              <w:t>PLANILLA DE COSTOS OPERATIVOS</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szCs w:val="18"/>
                <w:lang w:eastAsia="es-BO"/>
              </w:rPr>
            </w:pPr>
            <w:r>
              <w:rPr>
                <w:rFonts w:cs="Calibri" w:ascii="Calibri" w:hAnsi="Calibri"/>
                <w:color w:val="000000"/>
                <w:sz w:val="18"/>
                <w:szCs w:val="18"/>
                <w:lang w:eastAsia="es-BO"/>
              </w:rPr>
              <w:t> </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szCs w:val="18"/>
                <w:lang w:eastAsia="es-BO"/>
              </w:rPr>
            </w:pPr>
            <w:r>
              <w:rPr>
                <w:rFonts w:cs="Calibri" w:ascii="Calibri" w:hAnsi="Calibri"/>
                <w:color w:val="000000"/>
                <w:sz w:val="18"/>
                <w:szCs w:val="18"/>
                <w:lang w:eastAsia="es-BO"/>
              </w:rPr>
              <w:t>ITEM</w:t>
            </w:r>
          </w:p>
        </w:tc>
        <w:tc>
          <w:tcPr>
            <w:tcW w:w="119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szCs w:val="18"/>
                <w:lang w:eastAsia="es-BO"/>
              </w:rPr>
            </w:pPr>
            <w:r>
              <w:rPr>
                <w:rFonts w:cs="Calibri" w:ascii="Calibri" w:hAnsi="Calibri"/>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szCs w:val="18"/>
                <w:lang w:eastAsia="es-BO"/>
              </w:rPr>
            </w:pPr>
            <w:r>
              <w:rPr>
                <w:rFonts w:cs="Calibri" w:ascii="Calibri" w:hAnsi="Calibri"/>
                <w:color w:val="000000"/>
                <w:sz w:val="18"/>
                <w:szCs w:val="18"/>
                <w:lang w:eastAsia="es-BO"/>
              </w:rPr>
              <w:t>CANTIDAD</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MUEBLES Y ENSERES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SILLA DE PLÁSTICO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MESA DE PLÁSTICO REUNIONES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GABETERO METÁLICO CON 4 CAJONES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ESTANTES METÁLICO TIPO MECANO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ESCRITORIO DE MADERA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EQUIPO DE COMPUTACIÓN</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IMPRESORA DE TINTA CONTINUA - MULTIUSO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FLASH MEMORY 8GB</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COMPUTADORA PORTÁTIL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EQUIPO ELECTRÓNICO</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GPS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ESTUFA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DATA SHOW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MATERIAL INFORMATIVO</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VALLA DE GESTIÓN CON ESTRUCTURA METÁLICA Y BANNER (2.00 X 3.00)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VALLA DE GESTIÓN BANNER (2.00 X 3.00)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PLACA DE NUMERACIÓN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PLACA DE ENTREGA DE PROYECTO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 xml:space="preserve">LETRERO DE PROYECTO DE MURO DE LADRILLO </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AFICHE DE MEJORAMIENTO DE VIVIENDA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MATERIAL DE APOYO AL MEJORAMIENTO DE VIVIENDA</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MALETÍN ALMACENEROS (LIBROS DE ACTAS, CALCULADORA, TAMPOS, SELLOS, ENGRAMPADORAS, ETC.)</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IMPRESIÓN DE TARJETAS FAMILIARES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FORMULARIOS IMPRESOS CONTROL DE ALMACENES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CARPETAS FAMILIARES PLÁSTICAS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MATERIAL DE ESCRITORIO</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TAJADOR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TABLERO DE ANOTACIONES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PERFORADORA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 SABANA TAMAÑO RESMA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 CARBÓNICO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 BOND TAMAÑO CARTA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20</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MARCADOR INDELEBLE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MARCADOR DE AGUA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LÁPIZ NEGRO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GRAMPAS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GOMA DE BORRAR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FOLDERS DE PLÁSTICO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ENGRAMPADORA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CUADERNO DE ACTAS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CUADERNO DE 100 HOJAS TAMAÑO CARTA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CLIPS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CINTA SCOTCH TRANSPARENTE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CINTA MASKING</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BOLÍGRAFO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8</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ARCHIVADORES DE PALANCA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24</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CAPACITACIÓN TALLER PARA LIDERES Y AUTORIDADES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TAJADOR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PAPELÓGRAFO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 SABANA TAMAÑO RESMA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MARCADOR DE AGUA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MANUAL CAPACITACIÓN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LÁPIZ NEGRO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GOMA DE BORRAR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CUADERNO DE 30 HOJAS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CINTA MASKING</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BOLÍGRAFO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11</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CAPACITACIÓN TALLER EN TÉCNICAS CONSTRUCTIVAS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TAJADOR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PORTA DOCUMENTOS DE PLÁSTICO TAMAÑO OFICIO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PAPELÓGRAFO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PAPEL SABANA TAMAÑO RESMA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MARCADOR DE AGUA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MANUAL CAPACITACIÓN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LÁPIZ NEGRO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GOMA DE BORRAR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CUADERNO DE 100 HOJAS TAMAÑO CARTA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CINTA MASKING</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BOLÍGRAFO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HERRAMIENTAS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ZARANDA (TAMIZ 1X0.8CM)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TURRIL PLÁSTICO DE 200LT</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TESTER MULTÍMETRO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TENAZA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5</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TARRAJAS DE PVC DE 1/2</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TALADRO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SIERRA METÁLICA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SERRUCHO PARA MADERA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RODILLO ESPUMA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PLOMADA 300GR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PLANCHA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PINZA DE ELECTRICISTA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PINZA DE CORTE LATERAL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PICO Y MANGO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PATA DE CABRA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PALA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NIVEL DE MANO DE 30CM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MARTILLO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MANGUERA TRANSPARENTE DE NIVEL 3/8"</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MALLA MILIMÉTRICA (H=1M; 1,10M)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LLAVE UNIVERSAL PARA TUBOS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LLAVE STILSON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LLAVE PERICO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LÁPIZ DE CARPINTERO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HUINCHA DE 50M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HOJAS PARA SIERRA MECÁNICA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HILO TANZA #0,70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GUANTES DE SEGURIDAD (ESPECIAL)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FROTACHO (15X20)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ESTILETE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ESCUADRA (0,40X0,60)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DESTORNILLADOR PUNTA ESTRELLA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DESTORNILLADOR PUNTA PLANA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COMBO 5 LIBRAS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COMBILLO 2 LIBRAS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CEPILLO DE ACERO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CARRETILLA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BROCHA 3</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BARRETA DE 1.5 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BALDE PLÁSTICO 20LT</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BADILEJOS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AZADÓN Y MANGO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ALICATE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FLEXO 10M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ROPA DE TRABAJO</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OVEROL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9</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GUANTES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9</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GORRA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8</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CINTURÓN DE SEGURIDAD</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8</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CHALECO DE IDENTIFICACIÓN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9</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CASCO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8</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BOTAS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8</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PERSONAL DE PROYECTO (FACTURADO RURAL)</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TÉCNICO OPERATIVO DE ÁREA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TÉCNICO CARPINTERO ESPECIALISTA P/INSTALACIÓN DE PUERTAS DE MADERA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TÉCNICO ALMACENERO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EDUCADOR SOCIAL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CONSTRUCTOR ESPECIALISTA P/INSTALACIÓN SANITARIA Y AGUA POTABLE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CONSTRUCTOR ESPECIALISTA P/INSTALACIÓN ELÉCTRICA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CONSTRUCTOR ALBAÑIL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CONSTRUCTOR - ALBAÑIL APOYO SOCIAL PARA POBLACIÓN VULNERABLE (CASOS ESPECIALES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COMBUSTIBLES Y LUBRICANTES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GASOLINA PARA MOTOCICLETA(S)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600</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GASOLINA PARA CAMIONETA(S)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2100</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CAMBIO DE FILTRO DE ACEITE DE TODOS LOS VEHÍCULOS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4</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CAMBIO DE ACEITE DE TODOS LOS VEHÍCULOS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20</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ALQUILERES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ALQUILER DE VIVIENDA PARA CONSTRUCTORES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ALQUILER DE OFICINA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ALQUILER DE ALMACENES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2</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MANTENIMIENTO Y REPARACIÓN DE MOTORIZADOS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REPUESTOS, ACCESORIOS PARA VEHÍCULO(S) Y/O MOTOCICLETA(S)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MOTOCICLETA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CAMIONETA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3</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GASTOS VARIOS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SERVICIOS BÁSICOS P/OFICINA (AGUA/ELECTRICIDAD/LIMPIEZA ETC.)</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FOTOCOPIAS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2000</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CERTIFICADO DE NO PROPIEDAD</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64</w:t>
            </w:r>
          </w:p>
        </w:tc>
      </w:tr>
      <w:tr>
        <w:trPr>
          <w:trHeight w:val="232"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RODAJES PEAJES Y OTROS</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RODAJE, PEAJES, ITF, IMPUESTO VEHÍCULOS Y OTROS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szCs w:val="18"/>
                <w:lang w:eastAsia="es-BO"/>
              </w:rPr>
            </w:pPr>
            <w:r>
              <w:rPr>
                <w:rFonts w:cs="Calibri" w:ascii="Calibri" w:hAnsi="Calibri"/>
                <w:color w:val="000000"/>
                <w:sz w:val="18"/>
                <w:szCs w:val="18"/>
                <w:lang w:eastAsia="es-BO"/>
              </w:rPr>
              <w:t>1</w:t>
            </w:r>
          </w:p>
        </w:tc>
      </w:tr>
      <w:tr>
        <w:trPr>
          <w:trHeight w:val="232"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 </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 </w:t>
            </w:r>
          </w:p>
        </w:tc>
        <w:tc>
          <w:tcPr>
            <w:tcW w:w="13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szCs w:val="18"/>
                <w:lang w:eastAsia="es-BO"/>
              </w:rPr>
            </w:pPr>
            <w:r>
              <w:rPr>
                <w:rFonts w:cs="Calibri" w:ascii="Calibri" w:hAnsi="Calibri"/>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DETALLE DE ÍTEMS DEL PROYECTO</w:t>
      </w:r>
    </w:p>
    <w:p>
      <w:pPr>
        <w:pStyle w:val="Normal"/>
        <w:rPr>
          <w:rFonts w:ascii="Tahoma" w:hAnsi="Tahoma" w:cs="Tahoma"/>
          <w:color w:val="000000"/>
          <w:lang w:val="es-ES_tradnl"/>
        </w:rPr>
      </w:pPr>
      <w:r>
        <w:rPr>
          <w:rFonts w:cs="Tahoma" w:ascii="Tahoma" w:hAnsi="Tahoma"/>
          <w:color w:val="000000"/>
          <w:lang w:val="es-ES_tradnl"/>
        </w:rPr>
      </w:r>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09"/>
        <w:gridCol w:w="6491"/>
        <w:gridCol w:w="1800"/>
      </w:tblGrid>
      <w:tr>
        <w:trPr>
          <w:trHeight w:val="300" w:hRule="atLeast"/>
        </w:trPr>
        <w:tc>
          <w:tcPr>
            <w:tcW w:w="70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491"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649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bookmarkStart w:id="79" w:name="_Toc71811174"/>
      <w:bookmarkStart w:id="80" w:name="_Toc536520845"/>
      <w:r>
        <w:rPr>
          <w:rFonts w:cs="Tahoma" w:ascii="Tahoma" w:hAnsi="Tahoma"/>
          <w:b/>
          <w:bCs/>
          <w:color w:val="000000"/>
          <w:kern w:val="2"/>
          <w:lang w:val="es-ES_tradnl"/>
        </w:rPr>
        <w:t xml:space="preserve">DE LOS MATERIALES DE </w:t>
      </w:r>
      <w:bookmarkEnd w:id="80"/>
      <w:r>
        <w:rPr>
          <w:rFonts w:cs="Tahoma" w:ascii="Tahoma" w:hAnsi="Tahoma"/>
          <w:b/>
          <w:bCs/>
          <w:color w:val="000000"/>
          <w:kern w:val="2"/>
          <w:lang w:val="es-ES_tradnl"/>
        </w:rPr>
        <w:t>CONSTRUCCIÓN</w:t>
      </w:r>
      <w:bookmarkEnd w:id="79"/>
    </w:p>
    <w:p>
      <w:pPr>
        <w:pStyle w:val="Normal"/>
        <w:rPr>
          <w:lang w:val="es-ES_tradnl"/>
        </w:rPr>
      </w:pPr>
      <w:r>
        <w:rPr>
          <w:lang w:val="es-ES_tradnl"/>
        </w:rPr>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81" w:name="_Hlk118650468"/>
      <w:r>
        <w:rPr>
          <w:rFonts w:cs="Tahoma" w:ascii="Tahoma" w:hAnsi="Tahoma"/>
          <w:b/>
          <w:lang w:val="es-ES_tradnl"/>
        </w:rPr>
        <w:t>de construcción</w:t>
      </w:r>
      <w:bookmarkEnd w:id="8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Toc71811176"/>
      <w:bookmarkStart w:id="83" w:name="_Toc536520846"/>
      <w:r>
        <w:rPr>
          <w:rFonts w:cs="Tahoma" w:ascii="Tahoma" w:hAnsi="Tahoma"/>
          <w:b/>
          <w:bCs/>
          <w:color w:val="000000"/>
          <w:kern w:val="2"/>
          <w:lang w:val="es-ES_tradnl"/>
        </w:rPr>
        <w:t>ESPECIFICACIONES TÉCNICAS DE MATERIALES</w:t>
      </w:r>
      <w:bookmarkEnd w:id="83"/>
      <w:r>
        <w:rPr>
          <w:rFonts w:cs="Tahoma" w:ascii="Tahoma" w:hAnsi="Tahoma"/>
          <w:b/>
          <w:bCs/>
          <w:color w:val="000000"/>
          <w:kern w:val="2"/>
          <w:lang w:val="es-ES_tradnl"/>
        </w:rPr>
        <w:t xml:space="preserve"> DE CONSTRUCCIÓN</w:t>
      </w:r>
      <w:bookmarkEnd w:id="82"/>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75"/>
        <w:gridCol w:w="2230"/>
        <w:gridCol w:w="895"/>
        <w:gridCol w:w="5458"/>
      </w:tblGrid>
      <w:tr>
        <w:trPr>
          <w:trHeight w:val="386"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CARIPUYO  -FASE(VIII) 2024- POTOSI</w:t>
            </w:r>
          </w:p>
        </w:tc>
      </w:tr>
      <w:tr>
        <w:trPr>
          <w:trHeight w:val="136"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282" w:hRule="atLeast"/>
        </w:trPr>
        <w:tc>
          <w:tcPr>
            <w:tcW w:w="67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230"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458"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PVC</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458"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223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4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spacing w:lineRule="auto" w:line="300"/>
        <w:jc w:val="both"/>
        <w:rPr>
          <w:rFonts w:ascii="Arial" w:hAnsi="Arial" w:cs="Arial"/>
          <w:b/>
          <w:b/>
          <w:i/>
          <w:i/>
          <w:u w:val="single"/>
        </w:rPr>
      </w:pPr>
      <w:r>
        <w:rPr>
          <w:rFonts w:cs="Arial" w:ascii="Arial" w:hAnsi="Arial"/>
          <w:b/>
          <w:i/>
          <w:u w:val="single"/>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84" w:name="_Hlk184157807"/>
      <w:bookmarkStart w:id="85" w:name="_Hlk184157807"/>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86" w:name="_Hlk99371405"/>
      <w:bookmarkStart w:id="8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8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8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22">
            <wp:simplePos x="0" y="0"/>
            <wp:positionH relativeFrom="column">
              <wp:posOffset>3944620</wp:posOffset>
            </wp:positionH>
            <wp:positionV relativeFrom="paragraph">
              <wp:posOffset>10160</wp:posOffset>
            </wp:positionV>
            <wp:extent cx="1944370" cy="2736850"/>
            <wp:effectExtent l="0" t="0" r="0" b="0"/>
            <wp:wrapNone/>
            <wp:docPr id="33" name="Imagen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15"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47671F66">
                <wp:extent cx="4709795" cy="1955800"/>
                <wp:effectExtent l="0" t="0" r="0" b="6350"/>
                <wp:docPr id="34" name="Forma22"/>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2" style="position:absolute;margin-left:-13.25pt;margin-top:-154.55pt;width:384.15pt;height:154pt" coordorigin="-265,-3091" coordsize="7683,3080">
                <v:group id="shape_0" alt="Grupo 90" style="position:absolute;left:207;top:-2417;width:370;height:1686"/>
                <v:group id="shape_0" alt="Grupo 98" style="position:absolute;left:-265;top:-3091;width:7683;height:3080">
                  <v:group id="shape_0" alt="Grupo 99" style="position:absolute;left:-265;top:-3091;width:7683;height:3080">
                    <v:rect id="shape_0" ID="Cuadro de texto 100"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01" style="position:absolute;left:-265;top:-3091;width:7633;height:3080">
                      <v:rect id="shape_0" ID="Cuadro de texto 102"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3" style="position:absolute;left:-265;top:-3091;width:6398;height:3080">
                        <v:group id="shape_0" alt="Grupo 104" style="position:absolute;left:-265;top:-3091;width:6398;height:2431">
                          <v:group id="shape_0" alt="Grupo 105" style="position:absolute;left:675;top:-3091;width:5458;height:2431">
                            <v:group id="shape_0" alt="Grupo 106"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202"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203"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204"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205"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5" name="Imagen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16" descr=""/>
                    <pic:cNvPicPr>
                      <a:picLocks noChangeAspect="1" noChangeArrowheads="1"/>
                    </pic:cNvPicPr>
                  </pic:nvPicPr>
                  <pic:blipFill>
                    <a:blip r:embed="rId10"/>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8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9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91" w:name="_Hlk99012889"/>
      <w:bookmarkStart w:id="9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91"/>
      <w:bookmarkEnd w:id="92"/>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0FA24246">
                <wp:extent cx="2286635" cy="3954145"/>
                <wp:effectExtent l="0" t="854710" r="0" b="816610"/>
                <wp:docPr id="36"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1"/>
                        <a:srcRect l="21679" t="0" r="26719" b="0"/>
                        <a:stretch/>
                      </pic:blipFill>
                      <pic:spPr>
                        <a:xfrm rot="16200000">
                          <a:off x="0" y="0"/>
                          <a:ext cx="2286720" cy="3954240"/>
                        </a:xfrm>
                        <a:prstGeom prst="rect">
                          <a:avLst/>
                        </a:prstGeom>
                        <a:ln w="0">
                          <a:noFill/>
                        </a:ln>
                      </pic:spPr>
                    </pic:pic>
                  </a:graphicData>
                </a:graphic>
              </wp:inline>
            </w:drawing>
          </mc:Choice>
          <mc:Fallback>
            <w:pict>
              <v:shape id="shape_0" ID="Imagen 20" stroked="f" o:allowincell="f" style="position:absolute;margin-left:65.65pt;margin-top:-377.3pt;width:180pt;height:311.3pt;mso-wrap-style:none;v-text-anchor:middle;rotation:270;mso-position-vertical:top" wp14:anchorId="0FA24246" type="_x0000_t75">
                <v:imagedata r:id="rId11"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34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93"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4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94" w:name="_Hlk161764330"/>
            <w:r>
              <w:rPr>
                <w:rFonts w:cs="Tahoma" w:ascii="Tahoma" w:hAnsi="Tahoma"/>
                <w:b/>
                <w:bCs/>
                <w:sz w:val="18"/>
                <w:szCs w:val="18"/>
                <w:lang w:eastAsia="es-ES"/>
              </w:rPr>
              <w:t>CUBIERTA DE CALAMINA GALVANIZADA ONDULADA Nro 28 PREPINTADA C/MADERAMEN</w:t>
            </w:r>
            <w:bookmarkEnd w:id="94"/>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 Entidad Ejecutora proporcionará todos los materiales (excepto los de aporte propio), herramientas y equipos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Al efecto se recuerda que la Entidad Ejecutora es el absoluto responsable de la estabilidad de estas estructuras.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39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9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r>
        <w:rPr>
          <w:rFonts w:eastAsia="Arial" w:cs="Tahoma" w:ascii="Tahoma" w:hAnsi="Tahoma"/>
          <w:sz w:val="18"/>
          <w:szCs w:val="18"/>
        </w:rPr>
        <w:t>.</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95"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9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96" w:name="_Hlk161513692"/>
      <w:r>
        <w:rPr>
          <w:rFonts w:eastAsia="Arial" w:cs="Tahoma" w:ascii="Tahoma" w:hAnsi="Tahoma"/>
          <w:b/>
          <w:sz w:val="18"/>
          <w:szCs w:val="18"/>
        </w:rPr>
        <w:t>Preparación de la Superficie</w:t>
      </w:r>
      <w:bookmarkEnd w:id="96"/>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97"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98"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9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99"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9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00"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0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01" w:name="_Hlk95686236"/>
      <w:bookmarkEnd w:id="101"/>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02" w:name="_Hlk95686236"/>
      <w:bookmarkStart w:id="103" w:name="_Hlk95686228"/>
      <w:bookmarkStart w:id="104" w:name="_Hlk95686236"/>
      <w:bookmarkStart w:id="105" w:name="_Hlk95686228"/>
      <w:bookmarkEnd w:id="104"/>
    </w:p>
    <w:p>
      <w:pPr>
        <w:pStyle w:val="Normal"/>
        <w:widowControl w:val="false"/>
        <w:spacing w:before="0" w:after="120"/>
        <w:jc w:val="both"/>
        <w:rPr>
          <w:rFonts w:ascii="Tahoma" w:hAnsi="Tahoma" w:eastAsia="Arial" w:cs="Tahoma"/>
          <w:b/>
          <w:b/>
          <w:bCs/>
          <w:sz w:val="18"/>
          <w:szCs w:val="18"/>
        </w:rPr>
      </w:pPr>
      <w:bookmarkStart w:id="106" w:name="_Hlk95686228"/>
      <w:r>
        <w:rPr>
          <w:rFonts w:eastAsia="Arial" w:cs="Tahoma" w:ascii="Tahoma" w:hAnsi="Tahoma"/>
          <w:b/>
          <w:bCs/>
          <w:sz w:val="18"/>
          <w:szCs w:val="18"/>
        </w:rPr>
        <w:t>Aplicación del Revestimiento</w:t>
      </w:r>
      <w:bookmarkEnd w:id="106"/>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07" w:name="_Hlk94715458"/>
      <w:bookmarkEnd w:id="107"/>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108" w:name="_Hlk94715458"/>
      <w:bookmarkStart w:id="109" w:name="_Hlk94715458"/>
      <w:bookmarkEnd w:id="109"/>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10"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10"/>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11" w:name="_Hlk161511539"/>
      <w:r>
        <w:rPr>
          <w:rFonts w:eastAsia="Arial" w:cs="Tahoma" w:ascii="Tahoma" w:hAnsi="Tahoma"/>
          <w:sz w:val="18"/>
          <w:szCs w:val="18"/>
        </w:rPr>
        <w:t xml:space="preserve">Antes del proceder con el revoque, </w:t>
      </w:r>
      <w:bookmarkEnd w:id="111"/>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112"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13"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1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114" w:name="_Hlk166508075"/>
      <w:r>
        <w:rPr>
          <w:rFonts w:eastAsia="Arial" w:cs="Tahoma" w:ascii="Tahoma" w:hAnsi="Tahoma"/>
          <w:sz w:val="18"/>
          <w:szCs w:val="18"/>
        </w:rPr>
        <w:t>proyecto</w:t>
      </w:r>
      <w:bookmarkEnd w:id="114"/>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15" w:name="_Hlk67220710"/>
      <w:bookmarkStart w:id="116" w:name="_Hlk67220710"/>
      <w:bookmarkEnd w:id="116"/>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17" w:name="_Hlk67220710"/>
      <w:bookmarkStart w:id="118" w:name="_Hlk67220710"/>
      <w:bookmarkEnd w:id="118"/>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w:t>
            </w:r>
            <w:r>
              <w:rPr>
                <w:rFonts w:eastAsia="Arial" w:cs="Tahoma" w:ascii="Tahoma" w:hAnsi="Tahoma"/>
                <w:b/>
                <w:kern w:val="0"/>
                <w:sz w:val="18"/>
                <w:szCs w:val="18"/>
                <w:lang w:val="es-ES"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w:t>
            </w:r>
            <w:r>
              <w:rPr>
                <w:rFonts w:eastAsia="Arial" w:cs="Tahoma" w:ascii="Tahoma" w:hAnsi="Tahoma"/>
                <w:b/>
                <w:kern w:val="0"/>
                <w:sz w:val="18"/>
                <w:szCs w:val="18"/>
                <w:lang w:val="es-BO" w:bidi="ar-SA"/>
              </w:rPr>
              <w:t>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119" w:name="_Hlk95056544"/>
      <w:bookmarkEnd w:id="119"/>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120" w:name="_Hlk95056544"/>
      <w:bookmarkStart w:id="121" w:name="_Hlk95056544"/>
      <w:bookmarkEnd w:id="12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122"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123"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23"/>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124" w:name="_Hlk164171005"/>
            <w:r>
              <w:rPr>
                <w:rFonts w:eastAsia="Verdana" w:cs="Tahoma" w:ascii="Tahoma" w:hAnsi="Tahoma"/>
                <w:b/>
                <w:kern w:val="0"/>
                <w:sz w:val="18"/>
                <w:szCs w:val="18"/>
                <w:lang w:val="es-ES" w:bidi="ar-SA"/>
              </w:rPr>
              <w:t>INSTALACIÓN ELÉCTRICA (PUNTO TOMACORRIENTE DOBLE)</w:t>
            </w:r>
            <w:bookmarkEnd w:id="124"/>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125" w:name="_Hlk99441616"/>
      <w:bookmarkStart w:id="126"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125"/>
      <w:bookmarkEnd w:id="126"/>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127"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127"/>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128" w:name="_Hlk184157807"/>
      <w:r>
        <w:rPr>
          <w:rFonts w:eastAsia="Arial" w:cs="Tahoma" w:ascii="Tahoma" w:hAnsi="Tahoma"/>
          <w:color w:val="000000"/>
          <w:sz w:val="18"/>
          <w:szCs w:val="18"/>
        </w:rPr>
        <w:t>Este aporte propio estará sujeto al cronograma de ejecución de obra de la Entidad Ejecutora.</w:t>
      </w:r>
      <w:bookmarkEnd w:id="128"/>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129" w:name="_Hlk181199973"/>
      <w:bookmarkEnd w:id="12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13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13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131" w:name="_Hlk146219645"/>
      <w:r>
        <w:rPr>
          <w:rFonts w:cs="Arial" w:ascii="Verdana" w:hAnsi="Verdana"/>
          <w:sz w:val="18"/>
          <w:szCs w:val="18"/>
          <w:lang w:val="es-BO"/>
        </w:rPr>
        <w:t>vigente hasta la suscripción del contrato.</w:t>
      </w:r>
      <w:bookmarkEnd w:id="13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132" w:name="_Hlk181210009"/>
      <w:r>
        <w:rPr>
          <w:rFonts w:cs="Arial" w:ascii="Verdana" w:hAnsi="Verdana"/>
          <w:sz w:val="18"/>
          <w:szCs w:val="18"/>
          <w:lang w:val="es-BO"/>
        </w:rPr>
        <w:t>Testimonio de Contrato de Asociación Accidental, cuando corresponda.</w:t>
      </w:r>
      <w:bookmarkEnd w:id="13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133" w:name="_Hlk181199973"/>
      <w:bookmarkStart w:id="134" w:name="_Hlk181199973"/>
      <w:bookmarkEnd w:id="13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135" w:name="_Hlk181200721"/>
            <w:bookmarkEnd w:id="13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136" w:name="_Hlk181200721"/>
            <w:bookmarkStart w:id="137" w:name="_Hlk181200721"/>
            <w:bookmarkEnd w:id="13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138" w:name="_Hlk181201285"/>
      <w:bookmarkStart w:id="139" w:name="_Hlk181201285"/>
    </w:p>
    <w:tbl>
      <w:tblPr>
        <w:tblW w:w="912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9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9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9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311,10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253,19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167,45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115,04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2.394,54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161,05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994,34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14.960,55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3.785,57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2.566,98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205,33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1.806,26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376,85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228,26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311,10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235,52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298,66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1.896,58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93,19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1.020,54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818,12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96.112,50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24.752,00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615,92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5.585,78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3.568,02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7.718,11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2.060,50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59,91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710,52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139,40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933,30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1.030,54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3.589,00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326,66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303,26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54.327,06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404.104,68</w:t>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404.104,68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404.104,68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9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139"/>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140" w:name="_Hlk181201425"/>
      <w:bookmarkStart w:id="14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4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142" w:name="_Hlk181201699"/>
            <w:bookmarkEnd w:id="14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143" w:name="_Hlk181201699"/>
            <w:bookmarkStart w:id="144" w:name="_Hlk181201699"/>
            <w:bookmarkEnd w:id="14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145" w:name="_Hlk181201795"/>
            <w:bookmarkEnd w:id="14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146" w:name="_Hlk181201795"/>
            <w:bookmarkStart w:id="147" w:name="_Hlk181201795"/>
            <w:bookmarkEnd w:id="14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148" w:name="_Hlk181201860"/>
            <w:bookmarkEnd w:id="14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149" w:name="_Hlk181201860"/>
            <w:bookmarkStart w:id="150" w:name="_Hlk181201860"/>
            <w:bookmarkEnd w:id="15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7" name="Marco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39496159"/>
    </w:sdtPr>
    <w:sdtContent>
      <w:p>
        <w:pPr>
          <w:pStyle w:val="Piedepgina"/>
          <w:jc w:val="right"/>
          <w:rPr/>
        </w:pPr>
        <w:r>
          <w:rPr/>
          <w:fldChar w:fldCharType="begin"/>
        </w:r>
        <w:r>
          <w:rPr/>
          <w:instrText xml:space="preserve"> PAGE </w:instrText>
        </w:r>
        <w:r>
          <w:rPr/>
          <w:fldChar w:fldCharType="separate"/>
        </w:r>
        <w:r>
          <w:rPr/>
          <w:t>202</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30938709"/>
    </w:sdtPr>
    <w:sdtContent>
      <w:p>
        <w:pPr>
          <w:pStyle w:val="Piedepgina"/>
          <w:jc w:val="right"/>
          <w:rPr/>
        </w:pPr>
        <w:r>
          <w:rPr/>
          <w:fldChar w:fldCharType="begin"/>
        </w:r>
        <w:r>
          <w:rPr/>
          <w:instrText xml:space="preserve"> PAGE </w:instrText>
        </w:r>
        <w:r>
          <w:rPr/>
          <w:fldChar w:fldCharType="separate"/>
        </w:r>
        <w:r>
          <w:rPr/>
          <w:t>202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09">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98"/>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gif"/><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Application>LibreOffice/7.3.7.2$Linux_X86_64 LibreOffice_project/30$Build-2</Application>
  <AppVersion>15.0000</AppVersion>
  <Pages>205</Pages>
  <Words>85248</Words>
  <Characters>461793</Characters>
  <CharactersWithSpaces>542045</CharactersWithSpaces>
  <Paragraphs>6166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2025-02-20T15:12:00Z</cp:lastPrinted>
  <dcterms:modified xsi:type="dcterms:W3CDTF">2025-02-20T19:21:03Z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