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jpeg" ContentType="image/jpeg"/>
  <Override PartName="/word/media/image5.jpeg" ContentType="image/jpeg"/>
  <Override PartName="/word/media/image10.jpeg" ContentType="image/jpeg"/>
  <Override PartName="/word/media/image6.png" ContentType="image/png"/>
  <Override PartName="/word/media/image7.png" ContentType="image/png"/>
  <Override PartName="/word/media/image8.png" ContentType="image/pn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DE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177800</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CKOCHAS – FASE (IX) 2024 -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AEV-PT-PVC-67/24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Nº DE CONVOCATORIA</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SEGUNDA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CKOCHAS – FASE (IX) 2024 -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AEV-PT-PVC-67/24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Nº DE CONVOCATORIA</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SEGUNDA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Normal"/>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ListParagraph"/>
        <w:ind w:left="1418" w:hanging="0"/>
        <w:jc w:val="both"/>
        <w:rPr>
          <w:rFonts w:ascii="Verdana" w:hAnsi="Verdana" w:cs="Arial"/>
          <w:strike/>
          <w:color w:val="FF0000"/>
          <w:sz w:val="18"/>
          <w:szCs w:val="18"/>
        </w:rPr>
      </w:pPr>
      <w:r>
        <w:rPr>
          <w:rFonts w:cs="Arial" w:ascii="Verdana" w:hAnsi="Verdana"/>
          <w:strike/>
          <w:color w:val="FF0000"/>
          <w:sz w:val="18"/>
          <w:szCs w:val="18"/>
        </w:rPr>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7"/>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7"/>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 xml:space="preserve">Cuando el proponente (Empresa Unipersonal, Sociedades Comerciales o Asociaciones Accidentales (o sus integrantes)), </w:t>
      </w:r>
      <w:r>
        <w:rPr>
          <w:rFonts w:cs="Arial" w:ascii="Verdana" w:hAnsi="Verdana"/>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cs="Arial" w:ascii="Verdana" w:hAnsi="Verdana"/>
          <w:color w:val="00B050"/>
          <w:sz w:val="18"/>
          <w:szCs w:val="18"/>
          <w:lang w:val="es-BO"/>
        </w:rPr>
        <w:t xml:space="preserve"> </w:t>
      </w:r>
      <w:r>
        <w:rPr>
          <w:rFonts w:cs="Arial" w:ascii="Verdana" w:hAnsi="Verdana"/>
          <w:sz w:val="18"/>
          <w:szCs w:val="18"/>
          <w:lang w:val="es-BO"/>
        </w:rPr>
        <w:t>y/o Planillas de Pago, Planillas de Cierre, Productos pendientes de entrega a la entidad.</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Si el “Personal Requerido” propuesto, no cumple con los requisitos establecidos en el presente DCD.</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993"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s>
        <w:ind w:left="993"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ind w:left="709"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La experiencia del proponente será computada considerando los contratos ejecutados y/o concluidos durante los últimos quince (15) años, en caso de ser adjudicados deberán ser acreditados con Actas de Entrega Definitiva, Certificados de Terminación de Contratos/Liquidación Final u otro documento que acredite su experiencia con entidades públicas. </w:t>
      </w:r>
      <w:bookmarkStart w:id="15" w:name="_Hlk99595423"/>
      <w:r>
        <w:rPr>
          <w:rFonts w:cs="Arial" w:ascii="Verdana" w:hAnsi="Verdana"/>
          <w:sz w:val="18"/>
          <w:szCs w:val="18"/>
        </w:rPr>
        <w:t xml:space="preserve">Para la experiencia con particulares, deben presentar el Documento de Cumplimiento de Contrato. </w:t>
      </w:r>
      <w:bookmarkEnd w:id="15"/>
    </w:p>
    <w:p>
      <w:pPr>
        <w:pStyle w:val="Normal"/>
        <w:shd w:val="clear" w:color="auto" w:fill="FFFFFF" w:themeFill="background1"/>
        <w:ind w:left="432" w:hanging="0"/>
        <w:jc w:val="both"/>
        <w:rPr>
          <w:rFonts w:ascii="Verdana" w:hAnsi="Verdana" w:cs="Arial"/>
          <w:color w:val="00B050"/>
          <w:sz w:val="18"/>
          <w:szCs w:val="18"/>
        </w:rPr>
      </w:pPr>
      <w:r>
        <w:rPr>
          <w:rFonts w:cs="Arial" w:ascii="Verdana" w:hAnsi="Verdana"/>
          <w:color w:val="00B050"/>
          <w:sz w:val="18"/>
          <w:szCs w:val="18"/>
        </w:rPr>
      </w:r>
    </w:p>
    <w:p>
      <w:pPr>
        <w:pStyle w:val="Normal"/>
        <w:ind w:left="1416" w:hanging="0"/>
        <w:jc w:val="both"/>
        <w:rPr>
          <w:rFonts w:ascii="Verdana" w:hAnsi="Verdana" w:cs="Arial"/>
          <w:sz w:val="18"/>
          <w:szCs w:val="18"/>
        </w:rPr>
      </w:pPr>
      <w:r>
        <w:rPr>
          <w:rFonts w:cs="Arial" w:ascii="Arial" w:hAnsi="Arial"/>
          <w:sz w:val="18"/>
          <w:szCs w:val="16"/>
          <w:lang w:val="es-BO"/>
        </w:rPr>
        <w:t xml:space="preserve">En caso de presentar experiencia como contratistas o entidad ejecutora con la Agencia Estatal de Vivienda, ésta </w:t>
      </w:r>
      <w:r>
        <w:rPr>
          <w:rFonts w:cs="Arial" w:ascii="Arial" w:hAnsi="Arial"/>
          <w:b/>
          <w:bCs/>
          <w:sz w:val="18"/>
          <w:szCs w:val="16"/>
          <w:u w:val="single"/>
          <w:lang w:val="es-BO"/>
        </w:rPr>
        <w:t>no debe contemplar los montos de la Supervisión e Inspectoría</w:t>
      </w:r>
    </w:p>
    <w:p>
      <w:pPr>
        <w:pStyle w:val="Normal"/>
        <w:shd w:val="clear" w:color="auto" w:fill="FFFFFF" w:themeFill="background1"/>
        <w:tabs>
          <w:tab w:val="clear" w:pos="708"/>
          <w:tab w:val="left" w:pos="5812" w:leader="none"/>
        </w:tabs>
        <w:ind w:left="1418" w:hanging="0"/>
        <w:jc w:val="both"/>
        <w:rPr>
          <w:rFonts w:ascii="Verdana" w:hAnsi="Verdana" w:cs="Arial"/>
          <w:sz w:val="18"/>
          <w:szCs w:val="18"/>
        </w:rPr>
      </w:pPr>
      <w:r>
        <w:rPr>
          <w:rFonts w:cs="Arial" w:ascii="Verdana" w:hAnsi="Verdana"/>
          <w:sz w:val="18"/>
          <w:szCs w:val="18"/>
        </w:rPr>
      </w:r>
    </w:p>
    <w:p>
      <w:pPr>
        <w:pStyle w:val="ListParagraph"/>
        <w:numPr>
          <w:ilvl w:val="2"/>
          <w:numId w:val="13"/>
        </w:numPr>
        <w:shd w:val="clear" w:color="auto" w:fill="FFFFFF" w:themeFill="background1"/>
        <w:ind w:left="1418"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La experiencia del personal será computada considerando el conjunto de contratos, en los cuales el profesional ha desempeñado cargos similares o superiores al requerido por la AEVIVIENDA, que </w:t>
      </w:r>
      <w:bookmarkStart w:id="16" w:name="_Hlk127201574"/>
      <w:r>
        <w:rPr>
          <w:rFonts w:cs="Arial" w:ascii="Verdana" w:hAnsi="Verdana"/>
          <w:sz w:val="18"/>
          <w:szCs w:val="18"/>
        </w:rPr>
        <w:t xml:space="preserve">deberá </w:t>
      </w:r>
      <w:bookmarkEnd w:id="16"/>
      <w:r>
        <w:rPr>
          <w:rFonts w:cs="Arial" w:ascii="Verdana" w:hAnsi="Verdana"/>
          <w:sz w:val="18"/>
          <w:szCs w:val="18"/>
        </w:rPr>
        <w:t>ser acreditados en fotocopia simple adjunto a su propuesta,</w:t>
      </w:r>
      <w:r>
        <w:rPr>
          <w:rFonts w:cs="Arial" w:ascii="Verdana" w:hAnsi="Verdana"/>
          <w:sz w:val="18"/>
          <w:szCs w:val="18"/>
          <w:lang w:val="es-BO"/>
        </w:rPr>
        <w:t xml:space="preserve"> con certificados suscritos por el contratante,</w:t>
      </w:r>
      <w:r>
        <w:rPr>
          <w:rFonts w:cs="Arial" w:ascii="Verdana" w:hAnsi="Verdana"/>
          <w:sz w:val="18"/>
          <w:szCs w:val="18"/>
        </w:rPr>
        <w:t xml:space="preserve"> con Actas de Entrega Definitiva, Certificados de Terminación de contratos, Certificados de Trabajo, Contrato/Liquidación Final u otro equivalente con entidades públicas; Contratos con particulares, certificados de trabajo u otro documento que acredite inicio y fin. </w:t>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lang w:val="es-BO"/>
        </w:rPr>
        <w:t xml:space="preserve">La experiencia general es el conjunto de consultorías en general y la experiencia específica es el conjunto de consultorías similares al objeto de la contratación. </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Esto quiere decir que los cargos en consultorías similares pueden ser incluidos en el requerimiento de Experiencia General. </w:t>
      </w:r>
    </w:p>
    <w:p>
      <w:pPr>
        <w:pStyle w:val="Normal"/>
        <w:ind w:left="1560" w:hanging="708"/>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La experiencia del personal se encuentra definida en los términos de referencia.</w:t>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7"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1416" w:hanging="0"/>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jc w:val="both"/>
        <w:rPr>
          <w:rFonts w:ascii="Verdana" w:hAnsi="Verdana" w:cs="Arial"/>
          <w:sz w:val="18"/>
          <w:szCs w:val="18"/>
        </w:rPr>
      </w:pPr>
      <w:r>
        <w:rPr>
          <w:rFonts w:cs="Arial" w:ascii="Verdana" w:hAnsi="Verdana"/>
          <w:sz w:val="18"/>
          <w:szCs w:val="18"/>
        </w:rPr>
      </w:r>
    </w:p>
    <w:p>
      <w:pPr>
        <w:pStyle w:val="Normal"/>
        <w:ind w:left="2552" w:hanging="1418"/>
        <w:jc w:val="both"/>
        <w:rPr>
          <w:rFonts w:ascii="Verdana" w:hAnsi="Verdana" w:cs="Arial"/>
          <w:sz w:val="18"/>
          <w:szCs w:val="18"/>
        </w:rPr>
      </w:pPr>
      <w:bookmarkStart w:id="18" w:name="_Toc347486225"/>
      <w:r>
        <w:rPr>
          <w:rFonts w:cs="Arial" w:ascii="Verdana" w:hAnsi="Verdana"/>
          <w:sz w:val="18"/>
          <w:szCs w:val="18"/>
        </w:rPr>
        <w:t>Efectuadas las modificaciones, podrá proceder a su presentación.</w:t>
      </w:r>
      <w:bookmarkEnd w:id="18"/>
    </w:p>
    <w:p>
      <w:pPr>
        <w:pStyle w:val="Normal"/>
        <w:ind w:left="1416" w:hanging="0"/>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2127"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3"/>
        </w:numPr>
        <w:spacing w:before="160" w:after="160"/>
        <w:ind w:left="709"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3"/>
        </w:numPr>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576"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b w:val="false"/>
          <w:b w:val="false"/>
          <w:sz w:val="18"/>
          <w:szCs w:val="18"/>
        </w:rPr>
      </w:pPr>
      <w:bookmarkStart w:id="19" w:name="_Toc347486230"/>
      <w:r>
        <w:rPr>
          <w:rFonts w:ascii="Verdana" w:hAnsi="Verdana"/>
          <w:sz w:val="18"/>
        </w:rPr>
        <w:t>EVALUACIÓN DE PROPUESTAS</w:t>
      </w:r>
      <w:bookmarkEnd w:id="19"/>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20" w:name="_Toc347486231"/>
      <w:r>
        <w:rPr>
          <w:rFonts w:ascii="Verdana" w:hAnsi="Verdana"/>
          <w:sz w:val="18"/>
        </w:rPr>
        <w:t>EVALUACIÓN PRELIMINAR</w:t>
      </w:r>
      <w:bookmarkEnd w:id="20"/>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color w:val="0000FF"/>
          <w:sz w:val="18"/>
        </w:rPr>
      </w:pPr>
      <w:bookmarkStart w:id="21" w:name="_Toc347486232"/>
      <w:r>
        <w:rPr>
          <w:rFonts w:ascii="Verdana" w:hAnsi="Verdana"/>
          <w:sz w:val="18"/>
        </w:rPr>
        <w:t xml:space="preserve">MÉTODO DE SELECCIÓN Y ADJUDICACIÓN PRECIO EVALUADO MAS BAJO </w:t>
      </w:r>
      <w:bookmarkEnd w:id="21"/>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Ttulo11"/>
        <w:spacing w:before="0" w:after="0"/>
        <w:jc w:val="both"/>
        <w:rPr>
          <w:rFonts w:ascii="Verdana" w:hAnsi="Verdana"/>
          <w:sz w:val="18"/>
          <w:szCs w:val="18"/>
          <w:lang w:val="es-BO"/>
        </w:rPr>
      </w:pPr>
      <w:r>
        <w:rPr>
          <w:rFonts w:ascii="Verdana" w:hAnsi="Verdana"/>
          <w:sz w:val="18"/>
          <w:szCs w:val="18"/>
          <w:lang w:val="es-BO"/>
        </w:rPr>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630"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Presupuesto por Ítems y General de la Obra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630"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630"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993"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993"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b w:val="false"/>
          <w:b w:val="false"/>
          <w:sz w:val="18"/>
          <w:szCs w:val="18"/>
        </w:rPr>
      </w:pPr>
      <w:bookmarkStart w:id="22"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0"/>
        </w:numPr>
        <w:spacing w:before="0" w:after="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851" w:hanging="284"/>
        <w:jc w:val="both"/>
        <w:rPr>
          <w:rFonts w:ascii="Verdana" w:hAnsi="Verdana" w:cs="Arial"/>
          <w:sz w:val="18"/>
          <w:szCs w:val="18"/>
          <w:lang w:val="es-BO"/>
        </w:rPr>
      </w:pPr>
      <w:r>
        <w:rPr>
          <w:rFonts w:cs="Arial" w:ascii="Verdana" w:hAnsi="Verdana"/>
          <w:b/>
          <w:bCs/>
          <w:sz w:val="18"/>
          <w:szCs w:val="18"/>
          <w:lang w:val="es-BO"/>
        </w:rPr>
        <w:t>26.7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13"/>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Calibri" w:ascii="Verdana" w:hAnsi="Verdana" w:cstheme="minorHAnsi"/>
          <w:sz w:val="18"/>
          <w:szCs w:val="18"/>
        </w:rPr>
        <w:t>Las modificaciones al Contrato, podrán efectuarse</w:t>
      </w:r>
      <w:r>
        <w:rPr>
          <w:rFonts w:cs="Arial" w:ascii="Verdana" w:hAnsi="Verdana"/>
          <w:sz w:val="18"/>
          <w:szCs w:val="18"/>
          <w:lang w:val="es-BO"/>
        </w:rPr>
        <w:t xml:space="preserve"> utilizando cualquiera de las siguientes modalidades:</w:t>
      </w:r>
    </w:p>
    <w:p>
      <w:pPr>
        <w:pStyle w:val="ListParagraph"/>
        <w:numPr>
          <w:ilvl w:val="0"/>
          <w:numId w:val="29"/>
        </w:numPr>
        <w:ind w:left="284" w:hanging="284"/>
        <w:jc w:val="both"/>
        <w:rPr>
          <w:rFonts w:ascii="Verdana" w:hAnsi="Verdana" w:cs="Calibri" w:cstheme="minorHAnsi"/>
          <w:sz w:val="18"/>
          <w:szCs w:val="18"/>
        </w:rPr>
      </w:pPr>
      <w:r>
        <w:rPr>
          <w:rFonts w:cs="Calibri" w:ascii="Verdana" w:hAnsi="Verdana" w:cstheme="minorHAnsi"/>
          <w:b/>
          <w:bCs/>
          <w:sz w:val="18"/>
          <w:szCs w:val="18"/>
        </w:rPr>
        <w:t xml:space="preserve">Orden de Cambio: </w:t>
      </w:r>
      <w:r>
        <w:rPr>
          <w:rFonts w:cs="Calibri"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Pr>
          <w:rFonts w:cs="Calibri" w:ascii="Verdana" w:hAnsi="Verdana" w:cstheme="minorHAnsi"/>
          <w:sz w:val="18"/>
          <w:szCs w:val="18"/>
        </w:rPr>
        <w:t xml:space="preserve">plazo </w:t>
      </w:r>
      <w:r>
        <w:rPr>
          <w:rFonts w:cs="Calibri" w:ascii="Verdana" w:hAnsi="Verdana" w:cstheme="minorHAnsi"/>
          <w:color w:val="000000" w:themeColor="text1"/>
          <w:sz w:val="18"/>
          <w:szCs w:val="18"/>
        </w:rPr>
        <w:t>del Contrato. El</w:t>
      </w:r>
      <w:r>
        <w:rPr>
          <w:rFonts w:cs="Arial" w:ascii="Verdana" w:hAnsi="Verdana"/>
          <w:sz w:val="18"/>
          <w:szCs w:val="18"/>
        </w:rPr>
        <w:t xml:space="preserve"> documento denominado Orden de Cambio deberá contener mínimamente, número correlativo, fecha y objeto, debiendo ser elaborado con los sustentos técnicos.</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firstLine="1"/>
        <w:jc w:val="both"/>
        <w:rPr>
          <w:rFonts w:ascii="Verdana" w:hAnsi="Verdana" w:cs="Calibri" w:cstheme="minorHAnsi"/>
          <w:sz w:val="18"/>
          <w:szCs w:val="18"/>
        </w:rPr>
      </w:pPr>
      <w:r>
        <w:rPr>
          <w:rFonts w:cs="Calibri" w:ascii="Verdana" w:hAnsi="Verdana" w:cstheme="minorHAnsi"/>
          <w:sz w:val="18"/>
          <w:szCs w:val="18"/>
        </w:rPr>
        <w:t>La Orden de Cambio será firmada por la autoridad delegada (o su reemplazante si fuese el caso) que firmó el Contrato principal.</w:t>
      </w:r>
    </w:p>
    <w:p>
      <w:pPr>
        <w:pStyle w:val="Normal"/>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Calibri" w:cstheme="minorHAnsi"/>
          <w:sz w:val="18"/>
          <w:szCs w:val="18"/>
        </w:rPr>
      </w:pPr>
      <w:r>
        <w:rPr>
          <w:rFonts w:cs="Calibri"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Arial"/>
          <w:sz w:val="18"/>
          <w:szCs w:val="18"/>
          <w:lang w:val="es-BO"/>
        </w:rPr>
      </w:pPr>
      <w:r>
        <w:rPr>
          <w:rFonts w:cs="Arial" w:ascii="Verdana" w:hAnsi="Verdana"/>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pPr>
        <w:pStyle w:val="ListParagraph"/>
        <w:ind w:left="284" w:hanging="0"/>
        <w:jc w:val="both"/>
        <w:rPr>
          <w:rFonts w:ascii="Verdana" w:hAnsi="Verdana" w:cs="Calibri" w:cstheme="minorHAnsi"/>
          <w:sz w:val="18"/>
          <w:szCs w:val="18"/>
          <w:lang w:val="es-BO"/>
        </w:rPr>
      </w:pPr>
      <w:r>
        <w:rPr>
          <w:rFonts w:cs="Calibri" w:cstheme="minorHAnsi" w:ascii="Verdana" w:hAnsi="Verdana"/>
          <w:sz w:val="18"/>
          <w:szCs w:val="18"/>
          <w:lang w:val="es-BO"/>
        </w:rPr>
      </w:r>
    </w:p>
    <w:p>
      <w:pPr>
        <w:pStyle w:val="ListParagraph"/>
        <w:numPr>
          <w:ilvl w:val="0"/>
          <w:numId w:val="29"/>
        </w:numPr>
        <w:ind w:left="284" w:hanging="284"/>
        <w:jc w:val="both"/>
        <w:rPr>
          <w:rFonts w:ascii="Verdana" w:hAnsi="Verdana" w:cs="Calibri" w:cstheme="minorHAnsi"/>
          <w:sz w:val="18"/>
          <w:szCs w:val="18"/>
        </w:rPr>
      </w:pPr>
      <w:r>
        <w:rPr>
          <w:rFonts w:cs="Calibri" w:ascii="Verdana" w:hAnsi="Verdana" w:cstheme="minorHAnsi"/>
          <w:b/>
          <w:bCs/>
          <w:sz w:val="18"/>
          <w:szCs w:val="18"/>
        </w:rPr>
        <w:t>Contrato Modificatorio</w:t>
      </w:r>
      <w:r>
        <w:rPr>
          <w:rFonts w:cs="Calibri" w:ascii="Verdana" w:hAnsi="Verdana" w:cstheme="minorHAnsi"/>
          <w:sz w:val="18"/>
          <w:szCs w:val="18"/>
        </w:rPr>
        <w:t>: Será aplicable cuando la modificación a ser introducida afecte el alcance, monto y/o plazo del Contrato, sin dar lugar al incremento de los precios unitarios.</w:t>
      </w:r>
    </w:p>
    <w:p>
      <w:pPr>
        <w:pStyle w:val="ListParagraph"/>
        <w:ind w:left="284" w:hanging="0"/>
        <w:jc w:val="both"/>
        <w:rPr>
          <w:rFonts w:ascii="Verdana" w:hAnsi="Verdana" w:cs="Calibri" w:cstheme="minorHAnsi"/>
          <w:sz w:val="18"/>
          <w:szCs w:val="18"/>
        </w:rPr>
      </w:pPr>
      <w:r>
        <w:rPr>
          <w:rFonts w:cs="Calibri" w:ascii="Verdana" w:hAnsi="Verdana" w:cstheme="minorHAnsi"/>
          <w:sz w:val="18"/>
          <w:szCs w:val="18"/>
        </w:rPr>
        <w:t xml:space="preserve">El Contrato Modificatorio será suscrito por la MAE o por la autoridad que suscribió el Contrato principal. </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Calibri" w:cstheme="minorHAnsi"/>
          <w:sz w:val="18"/>
          <w:szCs w:val="18"/>
        </w:rPr>
      </w:pPr>
      <w:r>
        <w:rPr>
          <w:rFonts w:cs="Calibri" w:ascii="Verdana" w:hAnsi="Verdana" w:cstheme="minorHAnsi"/>
          <w:sz w:val="18"/>
          <w:szCs w:val="18"/>
        </w:rPr>
        <w:t>Se podrán realizar uno o varios contratos modificatorios, que sumados no deberán exceder el diez por ciento (10%) del monto del Contrato principal o del Componente de Provisión y Dotación de Materiales según corresponda.</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Calibri" w:cstheme="minorHAnsi"/>
          <w:sz w:val="18"/>
        </w:rPr>
      </w:pPr>
      <w:r>
        <w:rPr>
          <w:rFonts w:cs="Calibri" w:ascii="Verdana" w:hAnsi="Verdana" w:cstheme="minorHAnsi"/>
          <w:sz w:val="18"/>
        </w:rPr>
        <w:t>Si para el cumplimiento del objeto del Contrato, fuese necesaria la creación de nuevos ítems (volúmenes o cantidades no previstas), los precios unitarios de estos ítems deberán ser evaluados.</w:t>
      </w:r>
    </w:p>
    <w:p>
      <w:pPr>
        <w:pStyle w:val="Normal"/>
        <w:ind w:left="284" w:hanging="0"/>
        <w:jc w:val="both"/>
        <w:rPr>
          <w:rFonts w:ascii="Verdana" w:hAnsi="Verdana" w:cs="Calibri" w:cstheme="minorHAnsi"/>
          <w:sz w:val="18"/>
        </w:rPr>
      </w:pPr>
      <w:r>
        <w:rPr>
          <w:rFonts w:cs="Arial" w:ascii="Verdana" w:hAnsi="Verdana"/>
          <w:sz w:val="18"/>
        </w:rPr>
        <w:t>En todos los casos son responsables por los resultados de la aplicación de los instrumentos de modificación descritos, el Fiscal de Proyecto, Inspector y Entidad Ejecutora.</w:t>
      </w:r>
    </w:p>
    <w:p>
      <w:pPr>
        <w:pStyle w:val="ListParagraph"/>
        <w:ind w:left="1276" w:hanging="0"/>
        <w:jc w:val="both"/>
        <w:rPr>
          <w:rFonts w:ascii="Verdana" w:hAnsi="Verdana" w:cs="Calibri" w:cstheme="minorHAnsi"/>
        </w:rPr>
      </w:pPr>
      <w:r>
        <w:rPr>
          <w:rFonts w:cs="Calibri" w:cstheme="minorHAnsi" w:ascii="Verdana" w:hAnsi="Verdana"/>
        </w:rPr>
      </w:r>
    </w:p>
    <w:p>
      <w:pPr>
        <w:pStyle w:val="Normal"/>
        <w:jc w:val="both"/>
        <w:rPr>
          <w:rFonts w:ascii="Verdana" w:hAnsi="Verdana" w:cs="Arial"/>
          <w:sz w:val="18"/>
        </w:rPr>
      </w:pPr>
      <w:r>
        <w:rPr>
          <w:rFonts w:cs="Arial" w:ascii="Verdana" w:hAnsi="Verdana"/>
          <w:sz w:val="18"/>
        </w:rPr>
        <w:t>Procederá la cesión o la subrogación de Contratos por causa de fuerza mayor, caso fortuito o necesidad pública, previa aprobación de la MAE de la AEVIVIENDA.</w:t>
      </w:r>
    </w:p>
    <w:p>
      <w:pPr>
        <w:pStyle w:val="Normal"/>
        <w:spacing w:before="0" w:after="0"/>
        <w:contextualSpacing/>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3"/>
        </w:numPr>
        <w:spacing w:before="0" w:after="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8"/>
        <w:gridCol w:w="134"/>
        <w:gridCol w:w="133"/>
        <w:gridCol w:w="252"/>
        <w:gridCol w:w="134"/>
        <w:gridCol w:w="1040"/>
        <w:gridCol w:w="369"/>
        <w:gridCol w:w="902"/>
        <w:gridCol w:w="7"/>
        <w:gridCol w:w="198"/>
        <w:gridCol w:w="31"/>
        <w:gridCol w:w="246"/>
        <w:gridCol w:w="150"/>
        <w:gridCol w:w="1369"/>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41"/>
              </w:numPr>
              <w:suppressAutoHyphens w:val="true"/>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CKOCHAS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9"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67</w:t>
            </w:r>
            <w:r>
              <w:rPr>
                <w:rFonts w:ascii="Verdana" w:hAnsi="Verdana"/>
                <w:b/>
                <w:bCs/>
                <w:sz w:val="16"/>
                <w:szCs w:val="16"/>
                <w:lang w:eastAsia="es-ES"/>
              </w:rPr>
              <w:t>/24</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3.071.575,10 </w:t>
            </w:r>
            <w:r>
              <w:rPr>
                <w:b/>
                <w:sz w:val="18"/>
                <w:szCs w:val="18"/>
                <w:lang w:val="es-BO"/>
              </w:rPr>
              <w:t>(</w:t>
            </w:r>
            <w:r>
              <w:rPr>
                <w:sz w:val="18"/>
                <w:szCs w:val="18"/>
                <w:lang w:val="es-BO"/>
              </w:rPr>
              <w:t>Tres</w:t>
            </w:r>
            <w:r>
              <w:rPr>
                <w:bCs/>
                <w:sz w:val="18"/>
                <w:szCs w:val="18"/>
                <w:lang w:val="es-BO"/>
              </w:rPr>
              <w:t xml:space="preserve"> Millones Setenta y Un Mil Quinientos Setenta y Cinco 10/1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5"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5"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9"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9"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5" w:name="_Hlk181199754"/>
            <w:bookmarkStart w:id="26" w:name="_Hlk181199754"/>
            <w:bookmarkEnd w:id="26"/>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2"/>
        <w:gridCol w:w="1034"/>
        <w:gridCol w:w="804"/>
        <w:gridCol w:w="235"/>
        <w:gridCol w:w="237"/>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41"/>
              </w:numPr>
              <w:suppressAutoHyphens w:val="true"/>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4"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4"/>
        <w:gridCol w:w="237"/>
        <w:gridCol w:w="235"/>
        <w:gridCol w:w="901"/>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41"/>
              </w:numPr>
              <w:suppressAutoHyphens w:val="true"/>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4"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7"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4"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4"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4"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4"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4"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7" w:name="_Hlk181199786"/>
      <w:bookmarkStart w:id="28" w:name="_Hlk181199786"/>
      <w:bookmarkEnd w:id="28"/>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13"/>
        </w:numPr>
        <w:suppressAutoHyphens w:val="true"/>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53"/>
        <w:gridCol w:w="3208"/>
        <w:gridCol w:w="135"/>
        <w:gridCol w:w="134"/>
        <w:gridCol w:w="323"/>
        <w:gridCol w:w="134"/>
        <w:gridCol w:w="346"/>
        <w:gridCol w:w="134"/>
        <w:gridCol w:w="465"/>
        <w:gridCol w:w="135"/>
        <w:gridCol w:w="135"/>
        <w:gridCol w:w="366"/>
        <w:gridCol w:w="185"/>
        <w:gridCol w:w="378"/>
        <w:gridCol w:w="134"/>
        <w:gridCol w:w="135"/>
        <w:gridCol w:w="2028"/>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96"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71"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8"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5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4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65"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5"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4"/>
                <w:szCs w:val="14"/>
              </w:rPr>
            </w:pPr>
            <w:r>
              <w:rPr>
                <w:rFonts w:cs="Arial" w:ascii="Arial" w:hAnsi="Arial"/>
                <w:sz w:val="14"/>
                <w:szCs w:val="14"/>
                <w:lang w:val="es-BO"/>
              </w:rPr>
              <w:t>2025</w:t>
            </w:r>
          </w:p>
        </w:tc>
        <w:tc>
          <w:tcPr>
            <w:tcW w:w="13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6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14"/>
                <w:szCs w:val="14"/>
                <w:lang w:val="es-BO"/>
              </w:rPr>
            </w:pPr>
            <w:r>
              <w:rPr>
                <w:rFonts w:cs="Arial" w:ascii="Arial" w:hAnsi="Arial"/>
                <w:strike/>
                <w:color w:val="FF0000"/>
                <w:sz w:val="14"/>
                <w:szCs w:val="14"/>
                <w:lang w:val="es-BO"/>
              </w:rPr>
            </w:r>
          </w:p>
        </w:tc>
        <w:tc>
          <w:tcPr>
            <w:tcW w:w="135"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65" w:type="dxa"/>
            <w:tcBorders>
              <w:bottom w:val="single" w:sz="4" w:space="0" w:color="000000"/>
            </w:tcBorders>
            <w:shd w:color="auto" w:fill="auto" w:val="clear"/>
            <w:vAlign w:val="center"/>
          </w:tcPr>
          <w:p>
            <w:pPr>
              <w:pStyle w:val="Normal"/>
              <w:widowControl w:val="false"/>
              <w:snapToGrid w:val="false"/>
              <w:jc w:val="center"/>
              <w:rPr>
                <w:sz w:val="14"/>
                <w:szCs w:val="14"/>
              </w:rPr>
            </w:pPr>
            <w:r>
              <w:rPr>
                <w:i/>
                <w:sz w:val="14"/>
                <w:szCs w:val="14"/>
                <w:lang w:val="es-BO"/>
              </w:rPr>
              <w:t>Año</w:t>
            </w:r>
          </w:p>
        </w:tc>
        <w:tc>
          <w:tcPr>
            <w:tcW w:w="13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4"/>
                <w:szCs w:val="14"/>
              </w:rPr>
            </w:pPr>
            <w:r>
              <w:rPr>
                <w:rFonts w:cs="Arial" w:ascii="Arial" w:hAnsi="Arial"/>
                <w:sz w:val="14"/>
                <w:szCs w:val="14"/>
                <w:lang w:val="es-BO"/>
              </w:rPr>
              <w:t>2025</w:t>
            </w:r>
          </w:p>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p>
            <w:pPr>
              <w:pStyle w:val="Normal"/>
              <w:widowControl w:val="false"/>
              <w:snapToGrid w:val="false"/>
              <w:jc w:val="center"/>
              <w:rPr>
                <w:sz w:val="14"/>
                <w:szCs w:val="14"/>
              </w:rPr>
            </w:pPr>
            <w:r>
              <w:rPr>
                <w:rFonts w:cs="Arial" w:ascii="Arial" w:hAnsi="Arial"/>
                <w:sz w:val="14"/>
                <w:szCs w:val="14"/>
                <w:lang w:val="es-BO"/>
              </w:rPr>
              <w:t>2025</w:t>
            </w:r>
          </w:p>
        </w:tc>
        <w:tc>
          <w:tcPr>
            <w:tcW w:w="13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65" w:type="dxa"/>
            <w:tcBorders>
              <w:bottom w:val="single" w:sz="4" w:space="0" w:color="000000"/>
            </w:tcBorders>
            <w:shd w:color="auto" w:fill="auto" w:val="clear"/>
            <w:vAlign w:val="center"/>
          </w:tcPr>
          <w:p>
            <w:pPr>
              <w:pStyle w:val="Normal"/>
              <w:widowControl w:val="false"/>
              <w:snapToGrid w:val="false"/>
              <w:jc w:val="center"/>
              <w:rPr>
                <w:sz w:val="14"/>
                <w:szCs w:val="14"/>
              </w:rPr>
            </w:pPr>
            <w:r>
              <w:rPr>
                <w:i/>
                <w:sz w:val="14"/>
                <w:szCs w:val="14"/>
                <w:lang w:val="es-BO"/>
              </w:rPr>
              <w:t>Año</w:t>
            </w:r>
          </w:p>
        </w:tc>
        <w:tc>
          <w:tcPr>
            <w:tcW w:w="13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4"/>
                <w:szCs w:val="14"/>
              </w:rPr>
            </w:pPr>
            <w:r>
              <w:rPr>
                <w:rFonts w:cs="Arial" w:ascii="Arial" w:hAnsi="Arial"/>
                <w:sz w:val="14"/>
                <w:szCs w:val="14"/>
                <w:lang w:val="es-BO"/>
              </w:rPr>
              <w:t>2025</w:t>
            </w:r>
          </w:p>
        </w:tc>
        <w:tc>
          <w:tcPr>
            <w:tcW w:w="13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4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65"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sz w:val="14"/>
                <w:szCs w:val="14"/>
              </w:rPr>
            </w:pPr>
            <w:r>
              <w:rPr>
                <w:i/>
                <w:sz w:val="14"/>
                <w:szCs w:val="14"/>
                <w:lang w:val="es-BO"/>
              </w:rPr>
              <w:t>Año</w:t>
            </w:r>
          </w:p>
        </w:tc>
        <w:tc>
          <w:tcPr>
            <w:tcW w:w="13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6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4"/>
                <w:szCs w:val="14"/>
              </w:rPr>
            </w:pPr>
            <w:r>
              <w:rPr>
                <w:rFonts w:cs="Arial" w:ascii="Arial" w:hAnsi="Arial"/>
                <w:sz w:val="14"/>
                <w:szCs w:val="14"/>
                <w:lang w:val="es-BO"/>
              </w:rPr>
              <w:t>2025</w:t>
            </w:r>
          </w:p>
        </w:tc>
        <w:tc>
          <w:tcPr>
            <w:tcW w:w="13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65" w:type="dxa"/>
            <w:tcBorders>
              <w:bottom w:val="single" w:sz="4" w:space="0" w:color="000000"/>
            </w:tcBorders>
            <w:shd w:color="auto" w:fill="auto" w:val="clear"/>
            <w:vAlign w:val="center"/>
          </w:tcPr>
          <w:p>
            <w:pPr>
              <w:pStyle w:val="Normal"/>
              <w:widowControl w:val="false"/>
              <w:snapToGrid w:val="false"/>
              <w:jc w:val="center"/>
              <w:rPr>
                <w:sz w:val="14"/>
                <w:szCs w:val="14"/>
              </w:rPr>
            </w:pPr>
            <w:r>
              <w:rPr>
                <w:i/>
                <w:sz w:val="14"/>
                <w:szCs w:val="14"/>
                <w:lang w:val="es-BO"/>
              </w:rPr>
              <w:t>Año</w:t>
            </w:r>
          </w:p>
        </w:tc>
        <w:tc>
          <w:tcPr>
            <w:tcW w:w="13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5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4"/>
                <w:szCs w:val="14"/>
              </w:rPr>
            </w:pPr>
            <w:r>
              <w:rPr>
                <w:rFonts w:cs="Arial" w:ascii="Arial" w:hAnsi="Arial"/>
                <w:sz w:val="14"/>
                <w:szCs w:val="14"/>
                <w:lang w:val="es-BO"/>
              </w:rPr>
              <w:t>2025</w:t>
            </w:r>
          </w:p>
        </w:tc>
        <w:tc>
          <w:tcPr>
            <w:tcW w:w="135"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65" w:type="dxa"/>
            <w:tcBorders>
              <w:bottom w:val="single" w:sz="4" w:space="0" w:color="000000"/>
            </w:tcBorders>
            <w:shd w:color="auto" w:fill="auto" w:val="clear"/>
            <w:vAlign w:val="center"/>
          </w:tcPr>
          <w:p>
            <w:pPr>
              <w:pStyle w:val="Normal"/>
              <w:widowControl w:val="false"/>
              <w:snapToGrid w:val="false"/>
              <w:jc w:val="center"/>
              <w:rPr>
                <w:sz w:val="14"/>
                <w:szCs w:val="14"/>
              </w:rPr>
            </w:pPr>
            <w:r>
              <w:rPr>
                <w:i/>
                <w:sz w:val="14"/>
                <w:szCs w:val="14"/>
                <w:lang w:val="es-BO"/>
              </w:rPr>
              <w:t>Año</w:t>
            </w:r>
          </w:p>
        </w:tc>
        <w:tc>
          <w:tcPr>
            <w:tcW w:w="13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4"/>
                <w:szCs w:val="14"/>
              </w:rPr>
            </w:pPr>
            <w:r>
              <w:rPr>
                <w:rFonts w:cs="Arial" w:ascii="Arial" w:hAnsi="Arial"/>
                <w:sz w:val="14"/>
                <w:szCs w:val="14"/>
                <w:lang w:val="es-BO"/>
              </w:rPr>
              <w:t>2025</w:t>
            </w:r>
          </w:p>
        </w:tc>
        <w:tc>
          <w:tcPr>
            <w:tcW w:w="13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65" w:type="dxa"/>
            <w:tcBorders>
              <w:bottom w:val="single" w:sz="4" w:space="0" w:color="000000"/>
            </w:tcBorders>
            <w:shd w:color="auto" w:fill="auto" w:val="clear"/>
            <w:vAlign w:val="center"/>
          </w:tcPr>
          <w:p>
            <w:pPr>
              <w:pStyle w:val="Normal"/>
              <w:widowControl w:val="false"/>
              <w:snapToGrid w:val="false"/>
              <w:jc w:val="center"/>
              <w:rPr>
                <w:sz w:val="14"/>
                <w:szCs w:val="14"/>
              </w:rPr>
            </w:pPr>
            <w:r>
              <w:rPr>
                <w:i/>
                <w:sz w:val="14"/>
                <w:szCs w:val="14"/>
                <w:lang w:val="es-BO"/>
              </w:rPr>
              <w:t>Año</w:t>
            </w:r>
          </w:p>
        </w:tc>
        <w:tc>
          <w:tcPr>
            <w:tcW w:w="13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4"/>
                <w:szCs w:val="14"/>
              </w:rPr>
            </w:pPr>
            <w:r>
              <w:rPr>
                <w:rFonts w:cs="Arial" w:ascii="Arial" w:hAnsi="Arial"/>
                <w:sz w:val="14"/>
                <w:szCs w:val="14"/>
                <w:lang w:val="es-BO"/>
              </w:rPr>
              <w:t>2025</w:t>
            </w:r>
          </w:p>
        </w:tc>
        <w:tc>
          <w:tcPr>
            <w:tcW w:w="13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08"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65"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r>
    </w:p>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sz w:val="16"/>
          <w:szCs w:val="16"/>
        </w:rPr>
      </w:pPr>
      <w:r>
        <w:rPr>
          <w:rFonts w:cs="Arial" w:ascii="Arial" w:hAnsi="Arial"/>
          <w:sz w:val="16"/>
          <w:szCs w:val="16"/>
        </w:rPr>
      </w:r>
    </w:p>
    <w:p>
      <w:pPr>
        <w:pStyle w:val="Ttulo11"/>
        <w:numPr>
          <w:ilvl w:val="0"/>
          <w:numId w:val="13"/>
        </w:numPr>
        <w:spacing w:before="0" w:after="0"/>
        <w:jc w:val="both"/>
        <w:rPr>
          <w:rFonts w:ascii="Verdana" w:hAnsi="Verdana"/>
          <w:sz w:val="18"/>
          <w:szCs w:val="16"/>
        </w:rPr>
      </w:pPr>
      <w:bookmarkStart w:id="29" w:name="_Toc347486253"/>
      <w:r>
        <w:rPr>
          <w:rFonts w:ascii="Verdana" w:hAnsi="Verdana"/>
          <w:sz w:val="18"/>
        </w:rPr>
        <w:t>TÉRMINOS DE REFERENCIA</w:t>
      </w:r>
      <w:bookmarkEnd w:id="29"/>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0" w:name="_Hlk179192265"/>
          </w:p>
          <w:p>
            <w:pPr>
              <w:pStyle w:val="Normal"/>
              <w:widowControl w:val="false"/>
              <w:jc w:val="center"/>
              <w:rPr>
                <w:rFonts w:ascii="Tahoma" w:hAnsi="Tahoma" w:eastAsia="Calibri" w:cs="Tahoma"/>
                <w:b/>
                <w:b/>
                <w:bCs/>
                <w:sz w:val="14"/>
                <w:szCs w:val="14"/>
              </w:rPr>
            </w:pPr>
            <w:r>
              <w:rPr>
                <w:rFonts w:cs="Tahoma" w:ascii="Tahoma" w:hAnsi="Tahoma"/>
                <w:b/>
              </w:rPr>
              <w:t>CKOCHAS - FASE (IX) 2024 - POTOSI</w:t>
            </w:r>
            <w:bookmarkEnd w:id="30"/>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2"/>
        </w:numPr>
        <w:spacing w:lineRule="atLeast" w:line="260" w:before="240" w:after="60"/>
        <w:ind w:left="360" w:hanging="360"/>
        <w:outlineLvl w:val="0"/>
        <w:rPr>
          <w:rFonts w:ascii="Tahoma" w:hAnsi="Tahoma" w:cs="Tahoma"/>
          <w:bCs/>
          <w:color w:val="000000"/>
          <w:kern w:val="2"/>
          <w:sz w:val="32"/>
          <w:szCs w:val="32"/>
          <w:lang w:val="es-ES_tradnl"/>
        </w:rPr>
      </w:pPr>
      <w:bookmarkStart w:id="31"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1"/>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2" w:name="_Toc71811144"/>
      <w:r>
        <w:rPr>
          <w:rFonts w:cs="Tahoma" w:ascii="Tahoma" w:hAnsi="Tahoma"/>
          <w:b/>
        </w:rPr>
        <w:t xml:space="preserve">PROYECTO DE VIVIENDA CUALITATIVA EN EL MUNICIPIO DE                                                 </w:t>
      </w:r>
      <w:r>
        <w:rPr>
          <w:rFonts w:cs="Tahoma" w:ascii="Tahoma" w:hAnsi="Tahoma"/>
          <w:b/>
          <w:color w:val="FF0000"/>
        </w:rPr>
        <w:t>CKOCHAS - FASE (IX) 2024 - POTOSI</w:t>
      </w:r>
    </w:p>
    <w:p>
      <w:pPr>
        <w:pStyle w:val="Normal"/>
        <w:keepNext w:val="true"/>
        <w:numPr>
          <w:ilvl w:val="0"/>
          <w:numId w:val="42"/>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2"/>
        </w:numPr>
        <w:spacing w:before="0" w:after="60"/>
        <w:ind w:left="360" w:hanging="360"/>
        <w:outlineLvl w:val="0"/>
        <w:rPr>
          <w:rFonts w:ascii="Tahoma" w:hAnsi="Tahoma" w:cs="Tahoma"/>
          <w:bCs/>
          <w:color w:val="000000"/>
          <w:kern w:val="2"/>
          <w:sz w:val="32"/>
          <w:szCs w:val="32"/>
          <w:lang w:val="es-ES_tradnl"/>
        </w:rPr>
      </w:pPr>
      <w:bookmarkStart w:id="33"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highlight w:val="yellow"/>
          <w:lang w:val="es-ES_tradnl" w:eastAsia="es-ES"/>
        </w:rPr>
      </w:pPr>
      <w:bookmarkStart w:id="34"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88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4"/>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5" w:name="_Hlk172713415"/>
      <w:r>
        <w:rPr>
          <w:rFonts w:cs="Tahoma" w:ascii="Tahoma" w:hAnsi="Tahoma"/>
          <w:u w:val="single"/>
        </w:rPr>
        <w:t>TIPO 1</w:t>
      </w:r>
      <w:bookmarkEnd w:id="35"/>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18415</wp:posOffset>
            </wp:positionV>
            <wp:extent cx="5015865" cy="3019425"/>
            <wp:effectExtent l="0" t="0" r="0" b="0"/>
            <wp:wrapNone/>
            <wp:docPr id="4" name="Imagen 476404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53" descr=""/>
                    <pic:cNvPicPr>
                      <a:picLocks noChangeAspect="1" noChangeArrowheads="1"/>
                    </pic:cNvPicPr>
                  </pic:nvPicPr>
                  <pic:blipFill>
                    <a:blip r:embed="rId4"/>
                    <a:stretch>
                      <a:fillRect/>
                    </a:stretch>
                  </pic:blipFill>
                  <pic:spPr bwMode="auto">
                    <a:xfrm>
                      <a:off x="0" y="0"/>
                      <a:ext cx="5015865" cy="301942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bookmarkStart w:id="36" w:name="_Hlk172130942"/>
      <w:bookmarkStart w:id="37" w:name="_Hlk172130942"/>
    </w:p>
    <w:p>
      <w:pPr>
        <w:pStyle w:val="ListParagraph"/>
        <w:jc w:val="center"/>
        <w:rPr>
          <w:rFonts w:ascii="Tahoma" w:hAnsi="Tahoma" w:cs="Tahoma"/>
          <w:u w:val="single"/>
        </w:rPr>
      </w:pPr>
      <w:r>
        <w:rPr>
          <w:rFonts w:cs="Tahoma" w:ascii="Tahoma" w:hAnsi="Tahoma"/>
          <w:u w:val="single"/>
        </w:rPr>
        <w:t xml:space="preserve">PLANOS REFERENCIALES DE LA VIVIENDA TIPO 1 </w:t>
      </w:r>
      <w:r>
        <w:rPr>
          <w:rFonts w:cs="Tahoma" w:ascii="Tahoma" w:hAnsi="Tahoma"/>
          <w:color w:val="7030A0"/>
          <w:u w:val="single"/>
        </w:rPr>
        <w:t>(MEJORAMIENTO DE DORMITORIO)</w:t>
      </w:r>
      <w:bookmarkEnd w:id="37"/>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g">
            <w:drawing>
              <wp:anchor behindDoc="0" distT="0" distB="19050" distL="0" distR="28575" simplePos="0" locked="0" layoutInCell="0" allowOverlap="1" relativeHeight="31" wp14:anchorId="2DF7D1F9">
                <wp:simplePos x="0" y="0"/>
                <wp:positionH relativeFrom="margin">
                  <wp:align>center</wp:align>
                </wp:positionH>
                <wp:positionV relativeFrom="paragraph">
                  <wp:posOffset>11430</wp:posOffset>
                </wp:positionV>
                <wp:extent cx="5381625" cy="1657350"/>
                <wp:effectExtent l="0" t="0" r="3175" b="2540"/>
                <wp:wrapNone/>
                <wp:docPr id="5" name="Grupo 476404159"/>
                <a:graphic xmlns:a="http://schemas.openxmlformats.org/drawingml/2006/main">
                  <a:graphicData uri="http://schemas.microsoft.com/office/word/2010/wordprocessingGroup">
                    <wpg:wgp>
                      <wpg:cNvGrpSpPr/>
                      <wpg:grpSpPr>
                        <a:xfrm>
                          <a:off x="0" y="0"/>
                          <a:ext cx="5381640" cy="1657440"/>
                          <a:chOff x="0" y="0"/>
                          <a:chExt cx="5381640" cy="1657440"/>
                        </a:xfrm>
                      </wpg:grpSpPr>
                      <pic:pic xmlns:pic="http://schemas.openxmlformats.org/drawingml/2006/picture">
                        <pic:nvPicPr>
                          <pic:cNvPr id="0" name="Imagen 476404154" descr=""/>
                          <pic:cNvPicPr/>
                        </pic:nvPicPr>
                        <pic:blipFill>
                          <a:blip r:embed="rId5"/>
                          <a:stretch/>
                        </pic:blipFill>
                        <pic:spPr>
                          <a:xfrm>
                            <a:off x="0" y="0"/>
                            <a:ext cx="1689840" cy="1562040"/>
                          </a:xfrm>
                          <a:prstGeom prst="rect">
                            <a:avLst/>
                          </a:prstGeom>
                          <a:ln w="0">
                            <a:noFill/>
                          </a:ln>
                        </pic:spPr>
                      </pic:pic>
                      <pic:pic xmlns:pic="http://schemas.openxmlformats.org/drawingml/2006/picture">
                        <pic:nvPicPr>
                          <pic:cNvPr id="1" name="Imagen 476404155" descr=""/>
                          <pic:cNvPicPr/>
                        </pic:nvPicPr>
                        <pic:blipFill>
                          <a:blip r:embed="rId6"/>
                          <a:srcRect l="17224" t="0" r="23276" b="0"/>
                          <a:stretch/>
                        </pic:blipFill>
                        <pic:spPr>
                          <a:xfrm>
                            <a:off x="1866960" y="28440"/>
                            <a:ext cx="1722240" cy="1628640"/>
                          </a:xfrm>
                          <a:prstGeom prst="rect">
                            <a:avLst/>
                          </a:prstGeom>
                          <a:ln w="0">
                            <a:noFill/>
                          </a:ln>
                        </pic:spPr>
                      </pic:pic>
                      <pic:pic xmlns:pic="http://schemas.openxmlformats.org/drawingml/2006/picture">
                        <pic:nvPicPr>
                          <pic:cNvPr id="2" name="Imagen 476404156" descr=""/>
                          <pic:cNvPicPr/>
                        </pic:nvPicPr>
                        <pic:blipFill>
                          <a:blip r:embed="rId7"/>
                          <a:srcRect l="23924" t="0" r="18014" b="1886"/>
                          <a:stretch/>
                        </pic:blipFill>
                        <pic:spPr>
                          <a:xfrm>
                            <a:off x="3686760" y="28440"/>
                            <a:ext cx="1692360" cy="1609560"/>
                          </a:xfrm>
                          <a:prstGeom prst="rect">
                            <a:avLst/>
                          </a:prstGeom>
                          <a:ln w="0">
                            <a:noFill/>
                          </a:ln>
                        </pic:spPr>
                      </pic:pic>
                      <wps:wsp>
                        <wps:cNvSpPr/>
                        <wps:spPr>
                          <a:xfrm>
                            <a:off x="1981080" y="1410480"/>
                            <a:ext cx="1609560" cy="2469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wps:txbx>
                        <wps:bodyPr numCol="1" spcCol="0" horzOverflow="overflow" vertOverflow="overflow" tIns="161280" bIns="161280" anchor="t">
                          <a:noAutofit/>
                        </wps:bodyPr>
                      </wps:wsp>
                      <wps:wsp>
                        <wps:cNvSpPr/>
                        <wps:spPr>
                          <a:xfrm>
                            <a:off x="3772440" y="1410480"/>
                            <a:ext cx="1609200" cy="2469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wps:txbx>
                        <wps:bodyPr numCol="1" spcCol="0" horzOverflow="overflow" vertOverflow="overflow" tIns="161280" bIns="161280" anchor="t">
                          <a:noAutofit/>
                        </wps:bodyPr>
                      </wps:wsp>
                    </wpg:wgp>
                  </a:graphicData>
                </a:graphic>
              </wp:anchor>
            </w:drawing>
          </mc:Choice>
          <mc:Fallback>
            <w:pict>
              <v:group id="shape_0" alt="Grupo 476404159" style="position:absolute;margin-left:19.65pt;margin-top:0.9pt;width:423.75pt;height:130.55pt" coordorigin="393,18" coordsize="8475,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476404154" stroked="f" o:allowincell="f" style="position:absolute;left:393;top:18;width:2660;height:2459;mso-wrap-style:none;v-text-anchor:middle;mso-position-horizontal:center;mso-position-horizontal-relative:margin" type="_x0000_t75">
                  <v:imagedata r:id="rId5" o:detectmouseclick="t"/>
                  <v:stroke color="#3465a4" joinstyle="round" endcap="flat"/>
                  <w10:wrap type="none"/>
                </v:shape>
                <v:shape id="shape_0" ID="Imagen 476404155" stroked="f" o:allowincell="f" style="position:absolute;left:3333;top:63;width:2711;height:2564;mso-wrap-style:none;v-text-anchor:middle;mso-position-horizontal:center;mso-position-horizontal-relative:margin" type="_x0000_t75">
                  <v:imagedata r:id="rId6" o:detectmouseclick="t"/>
                  <v:stroke color="#3465a4" joinstyle="round" endcap="flat"/>
                  <w10:wrap type="none"/>
                </v:shape>
                <v:shape id="shape_0" ID="Imagen 476404156" stroked="f" o:allowincell="f" style="position:absolute;left:6199;top:63;width:2664;height:2534;mso-wrap-style:none;v-text-anchor:middle;mso-position-horizontal:center;mso-position-horizontal-relative:margin" type="_x0000_t75">
                  <v:imagedata r:id="rId7" o:detectmouseclick="t"/>
                  <v:stroke color="#3465a4" joinstyle="round" endcap="flat"/>
                  <w10:wrap type="none"/>
                </v:shape>
                <v:rect id="shape_0" ID="Cuadro de texto 476404157" path="m0,0l-2147483645,0l-2147483645,-2147483646l0,-2147483646xe" fillcolor="white" stroked="t" o:allowincell="f" style="position:absolute;left:3513;top:2239;width:2534;height:388;mso-wrap-style:square;v-text-anchor:top;mso-position-horizontal:center;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v:textbox>
                  <v:fill o:detectmouseclick="t" type="solid" color2="black"/>
                  <v:stroke color="black" weight="6480" joinstyle="round" endcap="flat"/>
                  <w10:wrap type="none"/>
                </v:rect>
                <v:rect id="shape_0" ID="Cuadro de texto 476404158" path="m0,0l-2147483645,0l-2147483645,-2147483646l0,-2147483646xe" fillcolor="white" stroked="t" o:allowincell="f" style="position:absolute;left:6334;top:2239;width:2533;height:388;mso-wrap-style:square;v-text-anchor:top;mso-position-horizontal:center;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5"/>
        </w:numPr>
        <w:spacing w:before="0" w:after="0"/>
        <w:contextualSpacing/>
        <w:jc w:val="both"/>
        <w:rPr>
          <w:rFonts w:ascii="Tahoma" w:hAnsi="Tahoma" w:cs="Tahoma"/>
          <w:bCs/>
          <w:lang w:val="es-ES_tradnl" w:eastAsia="es-ES_tradnl"/>
        </w:rPr>
      </w:pPr>
      <w:bookmarkStart w:id="38" w:name="_Toc71811146"/>
      <w:bookmarkStart w:id="39" w:name="_Hlk145576767"/>
      <w:bookmarkEnd w:id="39"/>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0" w:name="_Hlk145576767"/>
      <w:bookmarkStart w:id="41" w:name="_Hlk145576767"/>
      <w:bookmarkEnd w:id="41"/>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2" w:name="_Toc71811146"/>
      <w:r>
        <w:rPr>
          <w:rFonts w:cs="Tahoma" w:ascii="Tahoma" w:hAnsi="Tahoma"/>
          <w:b/>
          <w:bCs/>
          <w:color w:val="000000"/>
          <w:kern w:val="2"/>
          <w:lang w:val="es-ES_tradnl"/>
        </w:rPr>
        <w:t>UBICACIÓN GEOGRÁFICA DEL PROYECTO.</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se encuentra en la provincia </w:t>
      </w:r>
      <w:r>
        <w:rPr>
          <w:rFonts w:cs="Tahoma" w:ascii="Tahoma" w:hAnsi="Tahoma"/>
          <w:color w:val="FF0000"/>
          <w:lang w:val="es-ES_tradnl"/>
        </w:rPr>
        <w:t>JOSE MARIA LINARES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w:t>
      </w:r>
      <w:r>
        <w:rPr>
          <w:rFonts w:cs="Tahoma" w:ascii="Tahoma" w:hAnsi="Tahoma"/>
          <w:color w:val="FF0000"/>
        </w:rPr>
        <w:t>a Primera Sección de la Provincia Cornelio Saavedra del Departamento de Potosí</w:t>
      </w:r>
      <w:r>
        <w:rPr>
          <w:rFonts w:cs="Tahoma" w:ascii="Tahoma" w:hAnsi="Tahoma"/>
          <w:lang w:val="es-ES_tradnl"/>
        </w:rPr>
        <w:t>, al este con</w:t>
      </w:r>
      <w:r>
        <w:rPr/>
        <w:t xml:space="preserve"> </w:t>
      </w:r>
      <w:r>
        <w:rPr>
          <w:rFonts w:cs="Tahoma" w:ascii="Tahoma" w:hAnsi="Tahoma"/>
          <w:color w:val="FF0000"/>
          <w:lang w:val="es-ES_tradnl"/>
        </w:rPr>
        <w:t>el GAM de Puna y la Cuarta Sección – Icla de la Provincia Zudáñez y la Segunda Sección – Tarvita de la Provincia Azurduy del Departamento de Chuquisaca</w:t>
      </w:r>
      <w:r>
        <w:rPr>
          <w:rFonts w:cs="Tahoma" w:ascii="Tahoma" w:hAnsi="Tahoma"/>
          <w:lang w:val="es-ES_tradnl"/>
        </w:rPr>
        <w:t xml:space="preserve">, al oeste con </w:t>
      </w:r>
      <w:r>
        <w:rPr>
          <w:rFonts w:cs="Tahoma" w:ascii="Tahoma" w:hAnsi="Tahoma"/>
          <w:color w:val="FF0000"/>
        </w:rPr>
        <w:t>la Segunda Sección de la provincia José María Linares Caiza “D”, Primera Sección de la Provincia José María Linares Puna y con el Municipio de Betanzos de la provincia Cornelio Saavedra</w:t>
      </w:r>
      <w:r>
        <w:rPr>
          <w:rFonts w:cs="Tahoma" w:ascii="Tahoma" w:hAnsi="Tahoma"/>
          <w:color w:val="FF0000"/>
          <w:lang w:val="es-ES_tradnl"/>
        </w:rPr>
        <w:t xml:space="preserve"> </w:t>
      </w:r>
      <w:r>
        <w:rPr>
          <w:rFonts w:cs="Tahoma" w:ascii="Tahoma" w:hAnsi="Tahoma"/>
          <w:lang w:val="es-ES_tradnl"/>
        </w:rPr>
        <w:t xml:space="preserve">y al sur con </w:t>
      </w:r>
      <w:r>
        <w:rPr>
          <w:rFonts w:cs="Tahoma" w:ascii="Tahoma" w:hAnsi="Tahoma"/>
          <w:color w:val="FF0000"/>
          <w:lang w:val="es-ES_tradnl"/>
        </w:rPr>
        <w:t>la Segunda Sección - San Lucas de la Provincia Nor Cinti del Departamento de Chuquisaca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drawing>
          <wp:anchor behindDoc="0" distT="0" distB="0" distL="0" distR="0" simplePos="0" locked="0" layoutInCell="0" allowOverlap="1" relativeHeight="32">
            <wp:simplePos x="0" y="0"/>
            <wp:positionH relativeFrom="margin">
              <wp:align>right</wp:align>
            </wp:positionH>
            <wp:positionV relativeFrom="paragraph">
              <wp:posOffset>-90805</wp:posOffset>
            </wp:positionV>
            <wp:extent cx="6096635" cy="2962910"/>
            <wp:effectExtent l="0" t="0" r="0" b="0"/>
            <wp:wrapNone/>
            <wp:docPr id="6" name="Imagen 476404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122" descr=""/>
                    <pic:cNvPicPr>
                      <a:picLocks noChangeAspect="1" noChangeArrowheads="1"/>
                    </pic:cNvPicPr>
                  </pic:nvPicPr>
                  <pic:blipFill>
                    <a:blip r:embed="rId8"/>
                    <a:stretch>
                      <a:fillRect/>
                    </a:stretch>
                  </pic:blipFill>
                  <pic:spPr bwMode="auto">
                    <a:xfrm>
                      <a:off x="0" y="0"/>
                      <a:ext cx="6096635" cy="296291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3" w:name="_Toc71811147"/>
      <w:r>
        <w:rPr>
          <w:rFonts w:cs="Tahoma" w:ascii="Tahoma" w:hAnsi="Tahoma"/>
          <w:b/>
          <w:bCs/>
          <w:color w:val="000000"/>
          <w:kern w:val="2"/>
          <w:lang w:val="es-ES_tradnl"/>
        </w:rPr>
        <w:t>NUMERO DE VIVIENDAS A SER INTERVENIDAS</w:t>
      </w:r>
      <w:bookmarkEnd w:id="4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RANCHO ROSARIO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CONCEPCION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TARACHI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MARCAVI BAJO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QOLLPA MAYU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MEDIA LUNA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LADERA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PUCARA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SAN GERMAN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AGUADA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szCs w:val="18"/>
                <w:lang w:eastAsia="es-BO"/>
              </w:rPr>
            </w:pPr>
            <w:r>
              <w:rPr>
                <w:rFonts w:cs="Tahoma" w:ascii="Tahoma" w:hAnsi="Tahoma"/>
                <w:szCs w:val="18"/>
                <w:lang w:eastAsia="es-BO"/>
              </w:rPr>
              <w:t>CUCHERO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szCs w:val="18"/>
                <w:lang w:eastAsia="es-BO"/>
              </w:rPr>
            </w:pPr>
            <w:r>
              <w:rPr>
                <w:rFonts w:cs="Tahoma" w:ascii="Tahoma" w:hAnsi="Tahoma"/>
                <w:szCs w:val="18"/>
                <w:lang w:eastAsia="es-BO"/>
              </w:rPr>
              <w:t>RODEO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44</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44" w:name="_Toc71811148"/>
      <w:r>
        <w:rPr>
          <w:rFonts w:cs="Tahoma" w:ascii="Tahoma" w:hAnsi="Tahoma"/>
          <w:b/>
          <w:bCs/>
          <w:color w:val="000000"/>
          <w:kern w:val="2"/>
          <w:lang w:val="es-ES_tradnl"/>
        </w:rPr>
        <w:t>ACCESO A LAS COMUNIDADES O BARRIO/ZONA/URBANIZACIÓN/JUNTA VECINAL BENEFICIADAS</w:t>
      </w:r>
      <w:bookmarkEnd w:id="44"/>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955"/>
        <w:gridCol w:w="1986"/>
        <w:gridCol w:w="1265"/>
        <w:gridCol w:w="1932"/>
        <w:gridCol w:w="1713"/>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5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93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1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POTOSI</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CKOCHAS</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71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 HRS. Y 15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CKOCHAS</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RANCHO ROSARIO</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14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24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RANCHO ROSARIO</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CONCEPCION</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RANCHO ROSARIO</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TARACHI</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41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 HRS. Y 30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TARACHI</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RODEO PAMPA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70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 HRS.</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AGUADA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7.5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AGUADA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CUCHERO</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PUCARA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LADERA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8.5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LADERA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MARCAVI BAJO</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SAN GERMAN</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MEDIA LUNA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17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40 MINT.</w:t>
            </w:r>
          </w:p>
        </w:tc>
        <w:tc>
          <w:tcPr>
            <w:tcW w:w="17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MEDIA LUNA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QOLLPA MAYU</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7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Tierra</w:t>
            </w:r>
          </w:p>
        </w:tc>
      </w:tr>
    </w:tbl>
    <w:p>
      <w:pPr>
        <w:pStyle w:val="ListParagraph"/>
        <w:widowControl w:val="false"/>
        <w:numPr>
          <w:ilvl w:val="0"/>
          <w:numId w:val="45"/>
        </w:numPr>
        <w:rPr>
          <w:rFonts w:ascii="Tahoma" w:hAnsi="Tahoma" w:cs="Tahoma"/>
          <w:bCs/>
          <w:i/>
          <w:i/>
          <w:iCs/>
        </w:rPr>
      </w:pPr>
      <w:bookmarkStart w:id="45" w:name="_Toc49531233"/>
      <w:bookmarkStart w:id="46" w:name="_Toc100250568"/>
      <w:bookmarkStart w:id="47"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2"/>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CKOCHAS -</w:t>
      </w:r>
      <w:r>
        <w:rPr>
          <w:rFonts w:cs="Tahoma" w:ascii="Tahoma" w:hAnsi="Tahoma"/>
          <w:b/>
        </w:rPr>
        <w:t xml:space="preserve"> FASE</w:t>
      </w:r>
      <w:r>
        <w:rPr>
          <w:rFonts w:cs="Tahoma" w:ascii="Tahoma" w:hAnsi="Tahoma"/>
          <w:b/>
          <w:color w:val="FF0000"/>
        </w:rPr>
        <w:t xml:space="preserve"> (IX)</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88</w:t>
      </w:r>
      <w:r>
        <w:rPr>
          <w:rFonts w:cs="Tahoma" w:ascii="Tahoma" w:hAnsi="Tahoma"/>
          <w:lang w:val="es-ES_tradnl"/>
        </w:rPr>
        <w:t xml:space="preserve"> beneficiarios emitidos por Derechos Reales, correspondientes al presente proyecto.</w:t>
      </w:r>
      <w:bookmarkEnd w:id="4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9" w:name="_Toc71811150"/>
      <w:r>
        <w:rPr>
          <w:rFonts w:cs="Tahoma" w:ascii="Tahoma" w:hAnsi="Tahoma"/>
          <w:b/>
          <w:bCs/>
          <w:color w:val="000000"/>
          <w:kern w:val="2"/>
          <w:lang w:val="es-ES_tradnl"/>
        </w:rPr>
        <w:t>ALCANCE DE LA CONSULTORÍA.</w:t>
      </w:r>
      <w:bookmarkEnd w:id="4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0"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lang w:val="es-ES_tradnl"/>
        </w:rPr>
      </w:pPr>
      <w:bookmarkStart w:id="51"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1"/>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2"/>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6"/>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3" w:name="_Hlk170292260"/>
      <w:bookmarkStart w:id="54"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4"/>
      <w:r>
        <w:rPr>
          <w:rFonts w:cs="Tahoma" w:ascii="Tahoma" w:hAnsi="Tahoma"/>
          <w:lang w:val="es-ES_tradnl"/>
        </w:rPr>
        <w:t>de no Propiedad previo a la ejecución física de la obra.</w:t>
      </w:r>
      <w:bookmarkEnd w:id="53"/>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5" w:name="_Hlk179540707"/>
      <w:bookmarkEnd w:id="5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6"/>
      <w:r>
        <w:rPr>
          <w:rFonts w:cs="Tahoma" w:ascii="Tahoma" w:hAnsi="Tahoma"/>
          <w:lang w:val="es-ES_tradnl"/>
        </w:rPr>
        <w:t>, mediante visitas al sitio, aprobado por el Inspector</w:t>
      </w:r>
      <w:bookmarkStart w:id="57" w:name="_Hlk113371329"/>
      <w:r>
        <w:rPr>
          <w:rFonts w:cs="Tahoma" w:ascii="Tahoma" w:hAnsi="Tahoma"/>
          <w:lang w:val="es-ES_tradnl"/>
        </w:rPr>
        <w:t xml:space="preserve"> y validado por el Fiscal del Proyecto, previo acompañamiento.</w:t>
      </w:r>
      <w:bookmarkEnd w:id="57"/>
    </w:p>
    <w:p>
      <w:pPr>
        <w:pStyle w:val="ListParagraph"/>
        <w:widowControl w:val="false"/>
        <w:numPr>
          <w:ilvl w:val="0"/>
          <w:numId w:val="48"/>
        </w:numPr>
        <w:ind w:left="284" w:hanging="283"/>
        <w:jc w:val="both"/>
        <w:rPr>
          <w:rFonts w:ascii="Tahoma" w:hAnsi="Tahoma" w:cs="Tahoma"/>
          <w:lang w:val="es-ES_tradnl"/>
        </w:rPr>
      </w:pPr>
      <w:bookmarkStart w:id="58" w:name="_Hlk179540707"/>
      <w:bookmarkStart w:id="59" w:name="_Hlk146287105"/>
      <w:bookmarkStart w:id="60" w:name="_Hlk146287826"/>
      <w:bookmarkEnd w:id="5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9"/>
      <w:bookmarkEnd w:id="60"/>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1" w:name="_Hlk145577011"/>
      <w:bookmarkStart w:id="6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1"/>
      <w:bookmarkEnd w:id="62"/>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4" w:name="_Hlk126076662"/>
      <w:r>
        <w:rPr>
          <w:rFonts w:cs="Tahoma" w:ascii="Tahoma" w:hAnsi="Tahoma"/>
          <w:lang w:val="es-ES_tradnl"/>
        </w:rPr>
        <w:t xml:space="preserve">en la implantación de </w:t>
      </w:r>
      <w:bookmarkEnd w:id="6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3"/>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5" w:name="_Hlk158992379"/>
      <w:r>
        <w:rPr>
          <w:rFonts w:cs="Tahoma" w:ascii="Tahoma" w:hAnsi="Tahoma"/>
          <w:lang w:val="es-ES_tradnl"/>
        </w:rPr>
        <w:t>incumplimiento de aporte propio, a la tercera notificación de incumplimiento.</w:t>
      </w:r>
      <w:bookmarkEnd w:id="65"/>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7" w:name="_Hlk126076967"/>
      <w:r>
        <w:rPr>
          <w:rFonts w:cs="Tahoma" w:ascii="Tahoma" w:hAnsi="Tahoma"/>
          <w:color w:val="000000"/>
          <w:lang w:val="es-ES_tradnl"/>
        </w:rPr>
        <w:t xml:space="preserve">cantidades asignadas </w:t>
      </w:r>
      <w:bookmarkEnd w:id="67"/>
      <w:r>
        <w:rPr>
          <w:rFonts w:cs="Tahoma" w:ascii="Tahoma" w:hAnsi="Tahoma"/>
          <w:color w:val="000000"/>
          <w:lang w:val="es-ES_tradnl"/>
        </w:rPr>
        <w:t xml:space="preserve">y garantizando su adecuado uso.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8" w:name="_Toc71811151"/>
      <w:r>
        <w:rPr>
          <w:rFonts w:cs="Tahoma" w:ascii="Tahoma" w:hAnsi="Tahoma"/>
          <w:b/>
          <w:bCs/>
          <w:color w:val="000000"/>
          <w:kern w:val="2"/>
          <w:lang w:val="es-ES_tradnl"/>
        </w:rPr>
        <w:t>FASES DE LA CONSULTORÍA.</w:t>
      </w:r>
      <w:bookmarkEnd w:id="6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492E278D">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92E278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11E4CEF3">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1E4CEF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2132B6B0">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132B6B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70222F42">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0222F4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EFD65F2">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EFD65F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9" w:name="_Hlk164185315"/>
      <w:r>
        <w:rPr>
          <w:rFonts w:cs="Tahoma" w:ascii="Tahoma" w:hAnsi="Tahoma"/>
        </w:rPr>
        <w:t>Gestión y presentación de los Certificados de no Propiedad a nivel nacional de los beneficiarios del proyecto.</w:t>
      </w:r>
      <w:bookmarkEnd w:id="69"/>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70" w:name="_Toc71811152"/>
      <w:r>
        <w:rPr>
          <w:rFonts w:cs="Tahoma" w:ascii="Tahoma" w:hAnsi="Tahoma"/>
          <w:b/>
          <w:bCs/>
          <w:color w:val="000000"/>
          <w:kern w:val="2"/>
          <w:lang w:val="es-ES_tradnl"/>
        </w:rPr>
        <w:t>PLAZO DE EJECUCIÓN DE LA CONSULTORÍA</w:t>
      </w:r>
      <w:bookmarkEnd w:id="7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71" w:name="_Toc71811153"/>
      <w:r>
        <w:rPr>
          <w:rFonts w:cs="Tahoma" w:ascii="Tahoma" w:hAnsi="Tahoma"/>
          <w:b/>
          <w:bCs/>
          <w:color w:val="000000"/>
          <w:kern w:val="2"/>
          <w:lang w:val="es-ES_tradnl"/>
        </w:rPr>
        <w:t>CRONOGRAMA DE PLAZOS DE LA CONSULTORÍA</w:t>
      </w:r>
      <w:bookmarkEnd w:id="7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2"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3" w:name="_Hlk179541938"/>
            <w:bookmarkEnd w:id="7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1A392F43">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A392F4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33660478">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4162366B">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2DA63F68">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2DA63F68"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5EF625C1">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33372C02">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1399D900">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1399D90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6E16540B">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26C87875">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26C87875"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12F19AF6">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309FDA6B">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09FDA6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4" w:name="_Hlk179541938"/>
            <w:bookmarkStart w:id="75" w:name="_Hlk179541938"/>
            <w:bookmarkEnd w:id="7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76"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lang w:val="es-ES_tradnl"/>
        </w:rPr>
      </w:pPr>
      <w:bookmarkStart w:id="77" w:name="_Hlk164185058"/>
      <w:bookmarkStart w:id="78" w:name="_Hlk170197918"/>
      <w:bookmarkEnd w:id="77"/>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79" w:name="_Hlk179541326"/>
      <w:bookmarkStart w:id="8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9"/>
      <w:bookmarkEnd w:id="80"/>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1" w:name="_Hlk164185058"/>
      <w:bookmarkStart w:id="82" w:name="_Hlk179541991"/>
      <w:bookmarkEnd w:id="8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3" w:name="_Toc71811154"/>
      <w:bookmarkStart w:id="8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2"/>
      <w:bookmarkEnd w:id="84"/>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3.071.575,10 (Tres Millones Setenta y Un Mil Quinientos Setenta y Cinco 10/100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193"/>
        <w:gridCol w:w="1456"/>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099"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56"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116"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56"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45.639,09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1.307.592,12</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lang w:eastAsia="es-ES"/>
              </w:rPr>
            </w:pPr>
            <w:r>
              <w:rPr>
                <w:rFonts w:cs="Tahoma" w:ascii="Tahoma" w:hAnsi="Tahoma"/>
                <w:b/>
                <w:bCs/>
                <w:color w:val="C00000"/>
                <w:sz w:val="16"/>
                <w:szCs w:val="16"/>
                <w:lang w:eastAsia="es-ES"/>
              </w:rPr>
              <w:t>1.353.231,21</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91.278,17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1.307.592,12</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1.398.870,29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91.278,17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 xml:space="preserve">0,00 </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91.278,17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228.195,43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0,00</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228.195,43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456.390,86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2.615.184,24</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3.071.575,10</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Hlk179541408"/>
      <w:bookmarkStart w:id="94" w:name="_Toc81314437"/>
      <w:bookmarkStart w:id="95" w:name="_Toc81229595"/>
      <w:bookmarkEnd w:id="92"/>
      <w:bookmarkEnd w:id="93"/>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4"/>
      <w:bookmarkEnd w:id="95"/>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79541408"/>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lang w:eastAsia="es-BO"/>
        </w:rPr>
        <w:t xml:space="preserve">cero punto cinco por ciento (0.5%)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0" w:name="_Hlk144978977"/>
      <w:r>
        <w:rPr>
          <w:rFonts w:eastAsia="Calibri" w:cs="Tahoma" w:ascii="Tahoma" w:hAnsi="Tahoma"/>
          <w:lang w:eastAsia="es-BO"/>
        </w:rPr>
        <w:t>La garantía, será devuelta a la Entidad Ejecutora, una vez que se cuente con el pago final del servicio de consultoría</w:t>
      </w:r>
      <w:bookmarkEnd w:id="11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3"/>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3"/>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8"/>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3"/>
        </w:numPr>
        <w:spacing w:lineRule="atLeast" w:line="260"/>
        <w:ind w:left="567" w:hanging="283"/>
        <w:jc w:val="both"/>
        <w:rPr>
          <w:rFonts w:ascii="Tahoma" w:hAnsi="Tahoma" w:cs="Tahoma"/>
          <w:strike/>
          <w:color w:val="000000" w:themeColor="text1"/>
          <w:lang w:val="es-ES_tradnl"/>
        </w:rPr>
      </w:pPr>
      <w:bookmarkStart w:id="119" w:name="_Hlk118650022"/>
      <w:bookmarkStart w:id="120" w:name="_Hlk170235409"/>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0"/>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9"/>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bookmarkStart w:id="12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3" w:name="_Hlk144979166"/>
      <w:bookmarkStart w:id="124"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5" w:name="_Hlk144979166"/>
      <w:r>
        <w:rPr>
          <w:rFonts w:eastAsia="Calibri" w:cs="Tahoma" w:ascii="Tahoma" w:hAnsi="Tahoma"/>
          <w:b/>
          <w:iCs/>
        </w:rPr>
        <w:t>Resolución de Contrato:</w:t>
      </w:r>
      <w:bookmarkEnd w:id="12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2"/>
        </w:numPr>
        <w:spacing w:before="240" w:after="0"/>
        <w:ind w:left="360" w:hanging="360"/>
        <w:outlineLvl w:val="0"/>
        <w:rPr>
          <w:lang w:val="es-ES_tradnl"/>
        </w:rPr>
      </w:pPr>
      <w:bookmarkStart w:id="126" w:name="_Toc71811163"/>
      <w:r>
        <w:rPr>
          <w:rFonts w:cs="Tahoma" w:ascii="Tahoma" w:hAnsi="Tahoma"/>
          <w:b/>
          <w:bCs/>
          <w:color w:val="000000"/>
          <w:kern w:val="2"/>
          <w:lang w:val="es-ES_tradnl"/>
        </w:rPr>
        <w:t>MODIFICACIONES AL CONTRATO</w:t>
      </w:r>
      <w:bookmarkEnd w:id="126"/>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7" w:name="_Hlk179542202"/>
      <w:r>
        <w:rPr>
          <w:rFonts w:cs="Tahoma" w:ascii="Tahoma" w:hAnsi="Tahoma"/>
          <w:lang w:val="es-ES_tradnl"/>
        </w:rPr>
        <w:t>La Orden de Cambio podrá presentarse hasta 10 días calendario antes de la recepción provisional del proyecto.</w:t>
      </w:r>
      <w:bookmarkEnd w:id="12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34" w:name="_Hlk170288826"/>
      <w:bookmarkEnd w:id="134"/>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35" w:name="_Hlk170288826"/>
      <w:bookmarkStart w:id="136" w:name="_Hlk126939647"/>
      <w:bookmarkEnd w:id="13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6"/>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7" w:name="_Hlk179542285"/>
      <w:bookmarkStart w:id="13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7"/>
      <w:bookmarkEnd w:id="13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9"/>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0" w:name="_Hlk128047540"/>
      <w:bookmarkStart w:id="141"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2" w:name="_Hlk158887837"/>
      <w:r>
        <w:rPr>
          <w:rFonts w:cs="Tahoma" w:ascii="Tahoma" w:hAnsi="Tahoma"/>
          <w:color w:val="000000"/>
          <w:szCs w:val="16"/>
          <w:lang w:val="es-ES_tradnl"/>
        </w:rPr>
        <w:t>posteriores a la recepción de la solicitud</w:t>
      </w:r>
      <w:bookmarkEnd w:id="14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0"/>
      <w:bookmarkEnd w:id="14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0"/>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6" w:name="_Hlk179960365"/>
      <w:r>
        <w:rPr>
          <w:rFonts w:cs="Tahoma" w:ascii="Tahoma" w:hAnsi="Tahoma"/>
        </w:rPr>
        <w:t xml:space="preserve">Para la experiencia con particulares, debe presentar Contrato notariado con documento de respaldo de conclusión. </w:t>
      </w:r>
      <w:bookmarkEnd w:id="156"/>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57" w:name="_Toc71811166"/>
      <w:bookmarkStart w:id="158" w:name="_Toc536520831"/>
      <w:r>
        <w:rPr>
          <w:rFonts w:cs="Tahoma" w:ascii="Tahoma" w:hAnsi="Tahoma"/>
          <w:b/>
          <w:bCs/>
          <w:color w:val="000000"/>
          <w:kern w:val="2"/>
          <w:lang w:val="es-ES_tradnl"/>
        </w:rPr>
        <w:t>PERSONAL REQUERIDO</w:t>
      </w:r>
      <w:bookmarkEnd w:id="157"/>
      <w:bookmarkEnd w:id="15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9" w:name="_Hlk144979420"/>
      <w:bookmarkStart w:id="160" w:name="_Hlk144979420"/>
      <w:bookmarkEnd w:id="16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1"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2"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3"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3"/>
      <w:bookmarkEnd w:id="16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4" w:name="_Hlk179541676"/>
      <w:r>
        <w:rPr>
          <w:rFonts w:cs="Tahoma" w:ascii="Tahoma" w:hAnsi="Tahoma"/>
          <w:b/>
        </w:rPr>
        <w:t>(NO SE CONSIDERA COMO PERSONAL CLAVE)</w:t>
      </w:r>
      <w:bookmarkEnd w:id="16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5" w:name="_Hlk144979420"/>
            <w:bookmarkStart w:id="166" w:name="_Hlk144979420"/>
            <w:bookmarkEnd w:id="16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7"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7"/>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9" w:name="_Hlk143872192"/>
      <w:r>
        <w:rPr>
          <w:rFonts w:cs="Tahoma" w:ascii="Tahoma" w:hAnsi="Tahoma"/>
        </w:rPr>
        <w:t>el reemplazante deberá tener un perfil igual o mayor al profesional ofertado en su propuesta.</w:t>
      </w:r>
      <w:bookmarkEnd w:id="16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0" w:name="_Toc71811167"/>
      <w:bookmarkStart w:id="171" w:name="_Toc536520832"/>
      <w:bookmarkStart w:id="172" w:name="_Hlk170205284"/>
      <w:bookmarkStart w:id="173"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4" w:name="_Hlk179909520"/>
      <w:r>
        <w:rPr>
          <w:rFonts w:cs="Tahoma" w:ascii="Tahoma" w:hAnsi="Tahoma"/>
        </w:rPr>
        <w:t xml:space="preserve">aprobado por el Inspector y validado por la AEVIVIENDA </w:t>
      </w:r>
      <w:bookmarkEnd w:id="174"/>
      <w:r>
        <w:rPr>
          <w:rFonts w:cs="Tahoma" w:ascii="Tahoma" w:hAnsi="Tahoma"/>
        </w:rPr>
        <w:t>y evitar que estos abandonen el proyecto.</w:t>
      </w:r>
      <w:bookmarkEnd w:id="173"/>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2"/>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75" w:name="_Toc71811167"/>
      <w:bookmarkStart w:id="176" w:name="_Toc536520832"/>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rPr>
              <w:t>RANCHO ROSARIO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rPr>
              <w:t xml:space="preserve">PAMPA RODEO </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2"/>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2555946"/>
            <w:bookmarkStart w:id="180" w:name="_Hlk144980305"/>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4" w:name="_Hlk170235456"/>
      <w:bookmarkEnd w:id="184"/>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6" w:name="_Hlk170235456"/>
      <w:bookmarkStart w:id="187" w:name="_Toc71811170"/>
      <w:bookmarkEnd w:id="186"/>
      <w:r>
        <w:rPr>
          <w:rFonts w:cs="Tahoma" w:ascii="Tahoma" w:hAnsi="Tahoma"/>
          <w:b/>
          <w:bCs/>
          <w:color w:val="000000"/>
          <w:kern w:val="2"/>
          <w:lang w:val="es-ES_tradnl"/>
        </w:rPr>
        <w:t>CONTROL Y SEGUIMIENTO DE LA CONSULTORÍA</w:t>
      </w:r>
      <w:bookmarkEnd w:id="185"/>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8" w:name="_Hlk170236919"/>
    </w:p>
    <w:p>
      <w:pPr>
        <w:pStyle w:val="Normal"/>
        <w:numPr>
          <w:ilvl w:val="1"/>
          <w:numId w:val="70"/>
        </w:numPr>
        <w:spacing w:lineRule="atLeast" w:line="260"/>
        <w:ind w:left="426" w:hanging="360"/>
        <w:jc w:val="both"/>
        <w:rPr>
          <w:rFonts w:ascii="Tahoma" w:hAnsi="Tahoma" w:cs="Tahoma"/>
          <w:lang w:val="es-ES_tradnl"/>
        </w:rPr>
      </w:pPr>
      <w:bookmarkStart w:id="189" w:name="_Hlk170235486"/>
      <w:r>
        <w:rPr>
          <w:rFonts w:cs="Tahoma" w:ascii="Tahoma" w:hAnsi="Tahoma"/>
          <w:lang w:val="es-ES_tradnl"/>
        </w:rPr>
        <w:t>Realizar el estricto seguimiento y control al cumplimiento de las condiciones ofertadas por la Entidad Ejecutora.</w:t>
      </w:r>
      <w:bookmarkEnd w:id="188"/>
      <w:bookmarkEnd w:id="189"/>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0" w:name="_Toc536520844"/>
      <w:r>
        <w:rPr>
          <w:rFonts w:cs="Tahoma" w:ascii="Tahoma" w:hAnsi="Tahoma"/>
          <w:color w:val="000000"/>
          <w:lang w:val="es-ES_tradnl"/>
        </w:rPr>
        <w:t xml:space="preserve"> </w:t>
      </w:r>
      <w:bookmarkStart w:id="191" w:name="_Toc536520845"/>
      <w:bookmarkEnd w:id="190"/>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192" w:name="_Toc71811171"/>
      <w:bookmarkStart w:id="193" w:name="_Toc49774783"/>
      <w:r>
        <w:rPr>
          <w:rFonts w:cs="Tahoma" w:ascii="Tahoma" w:hAnsi="Tahoma"/>
          <w:b/>
          <w:bCs/>
          <w:color w:val="000000"/>
          <w:kern w:val="2"/>
          <w:lang w:val="es-ES_tradnl"/>
        </w:rPr>
        <w:t>DETALLE REFERENCIAL DE LOS COMPONENTE</w:t>
      </w:r>
      <w:bookmarkEnd w:id="193"/>
      <w:r>
        <w:rPr>
          <w:rFonts w:cs="Tahoma" w:ascii="Tahoma" w:hAnsi="Tahoma"/>
          <w:b/>
          <w:bCs/>
          <w:color w:val="000000"/>
          <w:kern w:val="2"/>
          <w:lang w:val="es-ES_tradnl"/>
        </w:rPr>
        <w:t>S (PROVISIÓN Y DOTACIÓN DE MATERIALES DE CONSTRUCCIÓN Y APORTE PROPIO).</w:t>
      </w:r>
      <w:bookmarkEnd w:id="192"/>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1.091,20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3.196,79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174,17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1.295,83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20.233,58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4.650,02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3.495,87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265,23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2.305,16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469,94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258,32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887,41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922,76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117.843,00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929,64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7.046,63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3.761,34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10.303,95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1.971,23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1.186,79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3.108,98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1.072,06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1.502,60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75.730,16</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106</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456.390,86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4" w:name="_Toc71811172"/>
      <w:bookmarkStart w:id="195" w:name="_Toc536520829"/>
      <w:r>
        <w:rPr>
          <w:rFonts w:cs="Tahoma" w:ascii="Tahoma" w:hAnsi="Tahoma"/>
          <w:b/>
          <w:bCs/>
          <w:color w:val="000000"/>
          <w:kern w:val="2"/>
          <w:lang w:val="es-ES_tradnl"/>
        </w:rPr>
        <w:t>PLANILLA DE INSUMOS OPERATIVOS DE LA ENTIDAD EJECUTORA</w:t>
      </w:r>
      <w:bookmarkEnd w:id="194"/>
      <w:bookmarkEnd w:id="195"/>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65"/>
        <w:gridCol w:w="1153"/>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06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15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5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6" w:name="_Toc71811173"/>
      <w:r>
        <w:rPr>
          <w:rFonts w:cs="Tahoma" w:ascii="Tahoma" w:hAnsi="Tahoma"/>
          <w:b/>
          <w:bCs/>
          <w:color w:val="000000"/>
          <w:kern w:val="2"/>
          <w:lang w:val="es-ES_tradnl"/>
        </w:rPr>
        <w:t>DETALLE DE ÍTEMS DEL PROYECTO</w:t>
      </w:r>
      <w:bookmarkEnd w:id="19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609"/>
        <w:gridCol w:w="6945"/>
        <w:gridCol w:w="1709"/>
      </w:tblGrid>
      <w:tr>
        <w:trPr>
          <w:trHeight w:val="20" w:hRule="atLeast"/>
        </w:trPr>
        <w:tc>
          <w:tcPr>
            <w:tcW w:w="60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94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0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2"/>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1"/>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7" w:name="_Hlk170208442"/>
      <w:bookmarkStart w:id="198" w:name="_Hlk17954325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199" w:name="_Hlk179543256"/>
      <w:bookmarkStart w:id="200" w:name="_Hlk170197607"/>
      <w:bookmarkEnd w:id="199"/>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97"/>
      <w:bookmarkEnd w:id="200"/>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202" w:name="_Toc536520846"/>
      <w:bookmarkStart w:id="203" w:name="_Toc71811176"/>
      <w:r>
        <w:rPr>
          <w:rFonts w:cs="Tahoma" w:ascii="Tahoma" w:hAnsi="Tahoma"/>
          <w:b/>
          <w:bCs/>
          <w:color w:val="000000"/>
          <w:kern w:val="2"/>
          <w:lang w:val="es-ES_tradnl"/>
        </w:rPr>
        <w:t>ESPECIFICACIONES TÉCNICAS DE MATERIALES</w:t>
      </w:r>
      <w:bookmarkEnd w:id="202"/>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63"/>
        <w:gridCol w:w="1714"/>
        <w:gridCol w:w="1211"/>
        <w:gridCol w:w="5774"/>
      </w:tblGrid>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6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71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21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7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kits de seguridad serán sujetos en los muros del baño los mismos seguirán una serie de pasos para su correcta ejecución:</w:t>
              <w:br/>
              <w:t>• Consultar Planos Arquitectónicos y verificar localización.</w:t>
              <w:br/>
              <w:t>• Localizar en lugares y alturas señalados en planos Barras de ayuda para minusválidos en acero inoxidable.</w:t>
              <w:br/>
              <w:t>• Realizar instalación siguiendo todas las indicaciones del Inspector de obra.</w:t>
              <w:br/>
              <w:t>• Utilizar herrajes, chazos y tornillería en acero inoxidable adecuada para el empotramiento al muro.</w:t>
              <w:br/>
              <w:t>• Verificar niveles y acabados para aceptación.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color w:val="000000"/>
                <w:sz w:val="18"/>
                <w:szCs w:val="18"/>
                <w:lang w:eastAsia="es-BO"/>
              </w:rPr>
              <w:t>,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3">
            <wp:simplePos x="0" y="0"/>
            <wp:positionH relativeFrom="column">
              <wp:posOffset>3944620</wp:posOffset>
            </wp:positionH>
            <wp:positionV relativeFrom="paragraph">
              <wp:posOffset>10160</wp:posOffset>
            </wp:positionV>
            <wp:extent cx="1944370" cy="27368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9"/>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390F1D53">
                <wp:extent cx="4709795" cy="1955800"/>
                <wp:effectExtent l="0" t="0" r="0" b="6350"/>
                <wp:docPr id="30"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3" name="Picture 3" descr=""/>
                                        <pic:cNvPicPr/>
                                      </pic:nvPicPr>
                                      <pic:blipFill>
                                        <a:blip r:embed="rId10"/>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476404124" style="position:absolute;left:207;top:-2417;width:370;height:1686"/>
                <v:group id="shape_0" alt="Grupo 476404132" style="position:absolute;left:-265;top:-3091;width:7683;height:3080">
                  <v:group id="shape_0" alt="Grupo 476404133" style="position:absolute;left:-265;top:-3091;width:7683;height:3080">
                    <v:rect id="shape_0" ID="Cuadro de texto 476404134"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6404135" style="position:absolute;left:-265;top:-3091;width:7633;height:3080">
                      <v:rect id="shape_0" ID="Cuadro de texto 476404136"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6404137" style="position:absolute;left:-265;top:-3091;width:6398;height:3080">
                        <v:group id="shape_0" alt="Grupo 476404138" style="position:absolute;left:-265;top:-3091;width:6398;height:2431">
                          <v:group id="shape_0" alt="Grupo 476404139" style="position:absolute;left:675;top:-3091;width:5458;height:2431">
                            <v:group id="shape_0" alt="Grupo 476404140" style="position:absolute;left:675;top:-2919;width:2631;height:2259">
                              <v:shape id="shape_0" ID="Picture 3" stroked="f" o:allowincell="f" style="position:absolute;left:675;top:-2426;width:1619;height:1765;mso-wrap-style:none;v-text-anchor:middle;mso-position-vertical:top" type="_x0000_t75">
                                <v:imagedata r:id="rId10" o:detectmouseclick="t"/>
                                <v:stroke color="#3465a4" joinstyle="round" endcap="flat"/>
                                <w10:wrap type="square"/>
                              </v:shape>
                            </v:group>
                            <v:rect id="shape_0" ID="Cuadro de texto 111"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12"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13"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14"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11"/>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0B6A8744">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4" name="Imagen 20" descr=""/>
                        <pic:cNvPicPr/>
                      </pic:nvPicPr>
                      <pic:blipFill>
                        <a:blip r:embed="rId12"/>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0B6A8744" type="_x0000_t75">
                <v:imagedata r:id="rId12" o:detectmouseclick="t"/>
                <v:stroke color="#3465a4" joinstyle="round" endcap="flat"/>
                <w10:wrap type="square"/>
              </v:shape>
            </w:pict>
          </mc:Fallback>
        </mc:AlternateConten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1" w:name="_Hlk161764330"/>
            <w:r>
              <w:rPr>
                <w:rFonts w:eastAsia="Arial" w:cs="Tahoma" w:ascii="Tahoma" w:hAnsi="Tahoma"/>
                <w:b/>
                <w:sz w:val="18"/>
                <w:szCs w:val="18"/>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2" w:name="_Hlk161764330"/>
            <w:r>
              <w:rPr>
                <w:rFonts w:eastAsia="Arial" w:cs="Tahoma" w:ascii="Tahoma" w:hAnsi="Tahoma"/>
                <w:b/>
                <w:bCs/>
                <w:sz w:val="18"/>
                <w:szCs w:val="18"/>
              </w:rPr>
              <w:t>CUBIERTA DE CALAMINA GALVANIZADA ONDULADA Nro 28 PREPINTADA C/MADERAMEN</w:t>
            </w:r>
            <w:bookmarkEnd w:id="212"/>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elementos de madera de manera complementaria deberá cumplirse con lo indicado en el Manual de Diseño del Grupo Andino.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traslape entre hojas no podrá ser inferior a 15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sz w:val="18"/>
          <w:szCs w:val="18"/>
        </w:rPr>
        <w:t xml:space="preserve">La </w:t>
      </w:r>
      <w:r>
        <w:rPr>
          <w:rFonts w:eastAsia="Arial" w:cs="Tahoma" w:ascii="Tahoma" w:hAnsi="Tahoma"/>
          <w:bCs/>
          <w:sz w:val="18"/>
          <w:szCs w:val="18"/>
        </w:rPr>
        <w:t>cubierta de calamina galvanizada ondulada Nº 28 pre pintada c/maderamen</w:t>
      </w:r>
      <w:r>
        <w:rPr>
          <w:rFonts w:eastAsia="Arial" w:cs="Tahoma" w:ascii="Tahoma" w:hAnsi="Tahoma"/>
          <w:sz w:val="18"/>
          <w:szCs w:val="18"/>
        </w:rPr>
        <w:t xml:space="preserve">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bookmarkStart w:id="213" w:name="_Hlk67252147"/>
      <w:bookmarkEnd w:id="213"/>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4" w:name="_Hlk67252147"/>
      <w:bookmarkStart w:id="215" w:name="_Hlk67252147"/>
      <w:bookmarkEnd w:id="215"/>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que no serán tomados en cuenta en la cantidad monetaria del ítem. En caso de mano de obra </w:t>
      </w:r>
      <w:r>
        <w:rPr>
          <w:rFonts w:eastAsia="Arial" w:cs="Tahoma" w:ascii="Tahoma" w:hAnsi="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6"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7" w:name="_Hlk161513692"/>
      <w:r>
        <w:rPr>
          <w:rFonts w:eastAsia="Arial" w:cs="Tahoma" w:ascii="Tahoma" w:hAnsi="Tahoma"/>
          <w:b/>
          <w:sz w:val="18"/>
          <w:szCs w:val="18"/>
        </w:rPr>
        <w:t>Preparación de la Superficie</w:t>
      </w:r>
      <w:bookmarkEnd w:id="217"/>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8"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0"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2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1"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95686236"/>
      <w:bookmarkEnd w:id="222"/>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3" w:name="_Hlk95686236"/>
      <w:bookmarkStart w:id="224" w:name="_Hlk95686228"/>
      <w:bookmarkStart w:id="225" w:name="_Hlk95686236"/>
      <w:bookmarkStart w:id="226" w:name="_Hlk95686228"/>
      <w:bookmarkEnd w:id="225"/>
    </w:p>
    <w:p>
      <w:pPr>
        <w:pStyle w:val="Normal"/>
        <w:widowControl w:val="false"/>
        <w:spacing w:before="0" w:after="120"/>
        <w:jc w:val="both"/>
        <w:rPr>
          <w:rFonts w:ascii="Tahoma" w:hAnsi="Tahoma" w:eastAsia="Arial" w:cs="Tahoma"/>
          <w:b/>
          <w:b/>
          <w:bCs/>
          <w:sz w:val="18"/>
          <w:szCs w:val="18"/>
        </w:rPr>
      </w:pPr>
      <w:bookmarkStart w:id="227" w:name="_Hlk95686228"/>
      <w:r>
        <w:rPr>
          <w:rFonts w:eastAsia="Arial" w:cs="Tahoma" w:ascii="Tahoma" w:hAnsi="Tahoma"/>
          <w:b/>
          <w:bCs/>
          <w:sz w:val="18"/>
          <w:szCs w:val="18"/>
        </w:rPr>
        <w:t>Aplicación del Revestimiento</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8" w:name="_Hlk94715458"/>
      <w:bookmarkEnd w:id="228"/>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9" w:name="_Hlk94715458"/>
      <w:bookmarkStart w:id="230" w:name="_Hlk94715458"/>
      <w:bookmarkEnd w:id="23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31"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31"/>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2" w:name="_Hlk161511539"/>
      <w:r>
        <w:rPr>
          <w:rFonts w:eastAsia="Arial" w:cs="Tahoma" w:ascii="Tahoma" w:hAnsi="Tahoma"/>
          <w:sz w:val="18"/>
          <w:szCs w:val="18"/>
        </w:rPr>
        <w:t xml:space="preserve">Antes del proceder con el revoque, </w:t>
      </w:r>
      <w:bookmarkEnd w:id="232"/>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3"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4"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Arial" w:hAnsi="Arial" w:eastAsia="Arial" w:cs="Arial"/>
        </w:rPr>
      </w:pPr>
      <w:r>
        <w:rPr>
          <w:rFonts w:eastAsia="Arial" w:cs="Arial" w:ascii="Arial" w:hAnsi="Aria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0" w:hRule="atLeast"/>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r>
        <w:rPr>
          <w:rFonts w:eastAsia="Arial" w:cs="Tahoma" w:ascii="Tahoma" w:hAnsi="Tahoma"/>
          <w:sz w:val="18"/>
          <w:szCs w:val="18"/>
        </w:rPr>
        <w:t xml:space="preserve">Este aporte estará sujeto al cronograma de ejecución de obra </w:t>
      </w:r>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5" w:name="_Hlk166508075"/>
      <w:r>
        <w:rPr>
          <w:rFonts w:eastAsia="Arial" w:cs="Tahoma" w:ascii="Tahoma" w:hAnsi="Tahoma"/>
          <w:sz w:val="18"/>
          <w:szCs w:val="18"/>
        </w:rPr>
        <w:t>proyecto</w:t>
      </w:r>
      <w:bookmarkEnd w:id="23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6" w:name="_Hlk67220710"/>
      <w:bookmarkStart w:id="237" w:name="_Hlk67220710"/>
      <w:bookmarkEnd w:id="23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8" w:name="_Hlk67220710"/>
      <w:bookmarkStart w:id="239" w:name="_Hlk67220710"/>
      <w:bookmarkEnd w:id="23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0" w:name="_Hlk95056544"/>
      <w:bookmarkEnd w:id="24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1" w:name="_Hlk95056544"/>
      <w:bookmarkStart w:id="242" w:name="_Hlk95056544"/>
      <w:bookmarkEnd w:id="24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4"/>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5" w:name="_Hlk164171005"/>
            <w:r>
              <w:rPr>
                <w:rFonts w:eastAsia="Verdana" w:cs="Tahoma" w:ascii="Tahoma" w:hAnsi="Tahoma"/>
                <w:b/>
                <w:kern w:val="0"/>
                <w:sz w:val="18"/>
                <w:szCs w:val="18"/>
                <w:lang w:val="es-ES" w:bidi="ar-SA"/>
              </w:rPr>
              <w:t>INSTALACIÓN ELÉCTRICA (PUNTO TOMACORRIENTE DOBLE)</w:t>
            </w:r>
            <w:bookmarkEnd w:id="245"/>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6" w:name="_Hlk99441616"/>
      <w:bookmarkStart w:id="247"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6"/>
      <w:bookmarkEnd w:id="247"/>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8"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8"/>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w:t>
      </w:r>
      <w:r>
        <w:rPr>
          <w:rFonts w:eastAsia="Arial" w:cs="Tahoma" w:ascii="Tahoma" w:hAnsi="Tahoma"/>
          <w:sz w:val="18"/>
          <w:szCs w:val="18"/>
          <w:lang w:val="es-419"/>
        </w:rPr>
        <w:t>Inspector</w:t>
      </w:r>
      <w:r>
        <w:rPr>
          <w:rFonts w:cs="Tahoma" w:ascii="Tahoma" w:hAnsi="Tahoma"/>
          <w:sz w:val="18"/>
          <w:szCs w:val="18"/>
        </w:rPr>
        <w:t xml:space="preserve">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98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42"/>
        <w:gridCol w:w="6707"/>
        <w:gridCol w:w="237"/>
      </w:tblGrid>
      <w:tr>
        <w:trPr>
          <w:trHeight w:val="284" w:hRule="atLeast"/>
        </w:trPr>
        <w:tc>
          <w:tcPr>
            <w:tcW w:w="10986"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986"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404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7"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986"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ListParagraph"/>
        <w:numPr>
          <w:ilvl w:val="0"/>
          <w:numId w:val="2"/>
        </w:numPr>
        <w:rPr>
          <w:rFonts w:ascii="Verdana" w:hAnsi="Verdana" w:cs="Arial"/>
          <w:sz w:val="18"/>
          <w:szCs w:val="18"/>
          <w:lang w:val="es-BO"/>
        </w:rPr>
      </w:pPr>
      <w:r>
        <w:rPr>
          <w:rFonts w:cs="Arial" w:ascii="Verdana" w:hAnsi="Verdana"/>
          <w:sz w:val="18"/>
          <w:szCs w:val="18"/>
          <w:lang w:val="es-BO"/>
        </w:rPr>
        <w:t>Declaro no tener Acta de Entrega Definitiva pendientes y/o cuentas pendientes por cobrar con la Entidad (Planillas de Pago, Planillas de Cierre, Productos) anteriores a la gestión pasada.</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y m).</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9" w:name="_Hlk146219645"/>
      <w:r>
        <w:rPr>
          <w:rFonts w:cs="Arial" w:ascii="Verdana" w:hAnsi="Verdana"/>
          <w:sz w:val="18"/>
          <w:szCs w:val="18"/>
          <w:lang w:val="es-BO"/>
        </w:rPr>
        <w:t>vigente hasta la suscripción del contrato.</w:t>
      </w:r>
      <w:bookmarkEnd w:id="24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la experiencia requerida y que respalde el puntaje obtenido en la evaluación, en original o fotocopia legalizada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Serán considerados los contratos ejecutados y/o concluidos durante los últimos quince (15) años.</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En caso de presentar experiencia como contratistas o entidad ejecutora con la Agencia Estatal de Vivienda, ésta no debe contemplar los montos de la Supervisión e Inspectoría.</w:t>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en original o fotocopia legalizada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xml:space="preserve">. De igual manera para la evaluación de la experiencia, no se tomarán en cuenta aquellos registros que tengan errores o inconsistencias con los documentos de respaldo </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299,02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124,41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379,24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1.091,20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3.196,79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174,17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1.295,83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20.233,58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4.650,02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3.495,87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265,23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2.305,16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469,94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301,29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258,32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385,79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123,23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887,41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922,76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146,06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391,43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117.843,00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32.032,00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929,64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7.046,63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3.761,34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10.303,95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1.971,23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1.186,79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3.108,98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1.072,06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699,60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1.502,60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244,86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394,68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75.730,16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106</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456.390,86</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456.390,86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456.390,86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bookmarkStart w:id="250" w:name="_GoBack"/>
      <w:bookmarkStart w:id="251" w:name="_GoBack"/>
      <w:bookmarkEnd w:id="251"/>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auto" w:line="276"/>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59202472"/>
    </w:sdtPr>
    <w:sdtContent>
      <w:p>
        <w:pPr>
          <w:pStyle w:val="Piedepgina"/>
          <w:jc w:val="right"/>
          <w:rPr/>
        </w:pPr>
        <w:r>
          <w:rPr/>
          <w:fldChar w:fldCharType="begin"/>
        </w:r>
        <w:r>
          <w:rPr/>
          <w:instrText xml:space="preserve"> PAGE </w:instrText>
        </w:r>
        <w:r>
          <w:rPr/>
          <w:fldChar w:fldCharType="separate"/>
        </w:r>
        <w:r>
          <w:rPr/>
          <w:t>201</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12999060"/>
    </w:sdtPr>
    <w:sdtContent>
      <w:p>
        <w:pPr>
          <w:pStyle w:val="Piedepgina"/>
          <w:jc w:val="right"/>
          <w:rPr/>
        </w:pPr>
        <w:r>
          <w:rPr/>
          <w:fldChar w:fldCharType="begin"/>
        </w:r>
        <w:r>
          <w:rPr/>
          <w:instrText xml:space="preserve"> PAGE </w:instrText>
        </w:r>
        <w:r>
          <w:rPr/>
          <w:fldChar w:fldCharType="separate"/>
        </w:r>
        <w:r>
          <w:rPr/>
          <w:t>201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AEV/DGE_INS/Nro.071/2024 (25/06/2024)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AEV/DGE_INS/Nro.071/2024 (25/06/2024)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86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lowerLetter"/>
      <w:lvlText w:val="%1)"/>
      <w:lvlJc w:val="left"/>
      <w:pPr>
        <w:tabs>
          <w:tab w:val="num" w:pos="0"/>
        </w:tabs>
        <w:ind w:left="502" w:hanging="360"/>
      </w:pPr>
      <w:rPr>
        <w:dstrike w:val="false"/>
        <w:strike w:val="false"/>
        <w:b/>
        <w:color w:val="auto"/>
      </w:rPr>
    </w:lvl>
    <w:lvl w:ilvl="1">
      <w:start w:val="1"/>
      <w:numFmt w:val="lowerLetter"/>
      <w:lvlText w:val="%2."/>
      <w:lvlJc w:val="left"/>
      <w:pPr>
        <w:tabs>
          <w:tab w:val="num" w:pos="0"/>
        </w:tabs>
        <w:ind w:left="1222" w:hanging="360"/>
      </w:pPr>
      <w:rPr/>
    </w:lvl>
    <w:lvl w:ilvl="2">
      <w:start w:val="1"/>
      <w:numFmt w:val="lowerRoman"/>
      <w:lvlText w:val="%3."/>
      <w:lvlJc w:val="right"/>
      <w:pPr>
        <w:tabs>
          <w:tab w:val="num" w:pos="0"/>
        </w:tabs>
        <w:ind w:left="1942" w:hanging="180"/>
      </w:pPr>
      <w:rPr/>
    </w:lvl>
    <w:lvl w:ilvl="3">
      <w:start w:val="1"/>
      <w:numFmt w:val="decimal"/>
      <w:lvlText w:val="%4."/>
      <w:lvlJc w:val="left"/>
      <w:pPr>
        <w:tabs>
          <w:tab w:val="num" w:pos="0"/>
        </w:tabs>
        <w:ind w:left="2662" w:hanging="360"/>
      </w:pPr>
      <w:rPr/>
    </w:lvl>
    <w:lvl w:ilvl="4">
      <w:start w:val="1"/>
      <w:numFmt w:val="lowerLetter"/>
      <w:lvlText w:val="%5."/>
      <w:lvlJc w:val="left"/>
      <w:pPr>
        <w:tabs>
          <w:tab w:val="num" w:pos="0"/>
        </w:tabs>
        <w:ind w:left="3382" w:hanging="360"/>
      </w:pPr>
      <w:rPr/>
    </w:lvl>
    <w:lvl w:ilvl="5">
      <w:start w:val="1"/>
      <w:numFmt w:val="lowerRoman"/>
      <w:lvlText w:val="%6."/>
      <w:lvlJc w:val="right"/>
      <w:pPr>
        <w:tabs>
          <w:tab w:val="num" w:pos="0"/>
        </w:tabs>
        <w:ind w:left="4102" w:hanging="180"/>
      </w:pPr>
      <w:rPr/>
    </w:lvl>
    <w:lvl w:ilvl="6">
      <w:start w:val="1"/>
      <w:numFmt w:val="decimal"/>
      <w:lvlText w:val="%7."/>
      <w:lvlJc w:val="left"/>
      <w:pPr>
        <w:tabs>
          <w:tab w:val="num" w:pos="0"/>
        </w:tabs>
        <w:ind w:left="4822" w:hanging="360"/>
      </w:pPr>
      <w:rPr/>
    </w:lvl>
    <w:lvl w:ilvl="7">
      <w:start w:val="1"/>
      <w:numFmt w:val="lowerLetter"/>
      <w:lvlText w:val="%8."/>
      <w:lvlJc w:val="left"/>
      <w:pPr>
        <w:tabs>
          <w:tab w:val="num" w:pos="0"/>
        </w:tabs>
        <w:ind w:left="5542" w:hanging="360"/>
      </w:pPr>
      <w:rPr/>
    </w:lvl>
    <w:lvl w:ilvl="8">
      <w:start w:val="1"/>
      <w:numFmt w:val="lowerRoman"/>
      <w:lvlText w:val="%9."/>
      <w:lvlJc w:val="right"/>
      <w:pPr>
        <w:tabs>
          <w:tab w:val="num" w:pos="0"/>
        </w:tabs>
        <w:ind w:left="6262"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2">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76"/>
    <w:lvlOverride w:ilvl="0">
      <w:startOverride w:val="1"/>
    </w:lvlOverride>
  </w:num>
  <w:num w:numId="114">
    <w:abstractNumId w:val="76"/>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customStyle="1">
    <w:name w:val="Enlace de Internet"/>
    <w:uiPriority w:val="99"/>
    <w:unhideWhenUsed/>
    <w:rsid w:val="00f74b7f"/>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character" w:styleId="Mencinsinresolver1" w:customStyle="1">
    <w:name w:val="Mención sin resolver1"/>
    <w:basedOn w:val="DefaultParagraphFont"/>
    <w:uiPriority w:val="99"/>
    <w:semiHidden/>
    <w:unhideWhenUsed/>
    <w:qFormat/>
    <w:rsid w:val="009577c3"/>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TableParagraph" w:customStyle="1">
    <w:name w:val="Table Paragraph"/>
    <w:basedOn w:val="Normal"/>
    <w:uiPriority w:val="1"/>
    <w:qFormat/>
    <w:rsid w:val="009577c3"/>
    <w:pPr>
      <w:widowControl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9577c3"/>
    <w:pPr>
      <w:tabs>
        <w:tab w:val="clear" w:pos="708"/>
        <w:tab w:val="left" w:pos="560" w:leader="none"/>
      </w:tabs>
      <w:spacing w:before="240" w:after="0"/>
      <w:jc w:val="both"/>
    </w:pPr>
    <w:rPr>
      <w:rFonts w:ascii="Verdana" w:hAnsi="Verdana" w:eastAsia="Arial" w:cs="Arial"/>
      <w:b/>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D559F-3BD3-424C-A5A9-4D2CD76A1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Application>LibreOffice/7.3.7.2$Linux_X86_64 LibreOffice_project/30$Build-2</Application>
  <AppVersion>15.0000</AppVersion>
  <Pages>201</Pages>
  <Words>89284</Words>
  <Characters>482872</Characters>
  <CharactersWithSpaces>567183</CharactersWithSpaces>
  <Paragraphs>6339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2025-03-07T17:56:00Z</dcterms:created>
  <dc:creator>DNGP UGP</dc:creator>
  <dc:description/>
  <dc:language>es-BO</dc:language>
  <cp:lastModifiedBy/>
  <cp:lastPrinted>2025-03-07T19:17:00Z</cp:lastPrinted>
  <dcterms:modified xsi:type="dcterms:W3CDTF">2025-03-11T18:54:25Z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