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bookmarkStart w:id="0" w:name="_GoBack"/>
                            <w:bookmarkEnd w:id="0"/>
                            <w:r>
                              <w:rPr>
                                <w:rFonts w:cs="Arial" w:ascii="Century Gothic" w:hAnsi="Century Gothic"/>
                                <w:b/>
                                <w:color w:val="0000FF"/>
                                <w:sz w:val="28"/>
                              </w:rPr>
                              <w:t>(</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TINGUIPAYA</w:t>
                      </w:r>
                      <w:r>
                        <w:rPr>
                          <w:rFonts w:cs="Arial" w:ascii="Century Gothic" w:hAnsi="Century Gothic"/>
                          <w:b/>
                          <w:color w:val="0000FF"/>
                          <w:sz w:val="28"/>
                        </w:rPr>
                        <w:t xml:space="preserve"> – FASE </w:t>
                      </w:r>
                      <w:bookmarkStart w:id="1" w:name="_GoBack"/>
                      <w:bookmarkEnd w:id="1"/>
                      <w:r>
                        <w:rPr>
                          <w:rFonts w:cs="Arial" w:ascii="Century Gothic" w:hAnsi="Century Gothic"/>
                          <w:b/>
                          <w:color w:val="0000FF"/>
                          <w:sz w:val="28"/>
                        </w:rPr>
                        <w:t>(</w:t>
                      </w:r>
                      <w:r>
                        <w:rPr>
                          <w:rFonts w:cs="Arial" w:ascii="Century Gothic" w:hAnsi="Century Gothic"/>
                          <w:b/>
                          <w:color w:val="FF0000"/>
                          <w:sz w:val="28"/>
                        </w:rPr>
                        <w:t>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27</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s>
        <w:ind w:left="851" w:hanging="425"/>
        <w:jc w:val="both"/>
        <w:rPr>
          <w:rFonts w:ascii="Verdana" w:hAnsi="Verdana" w:cs="Arial"/>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ind w:left="851" w:hanging="0"/>
        <w:jc w:val="both"/>
        <w:rPr>
          <w:rFonts w:ascii="Verdana" w:hAnsi="Verdana" w:cs="Arial"/>
          <w:sz w:val="18"/>
          <w:szCs w:val="18"/>
        </w:rPr>
      </w:pPr>
      <w:r>
        <w:rPr>
          <w:rFonts w:cs="Arial" w:ascii="Verdana" w:hAnsi="Verdana"/>
          <w:sz w:val="18"/>
          <w:szCs w:val="18"/>
        </w:rPr>
      </w:r>
    </w:p>
    <w:p>
      <w:pPr>
        <w:pStyle w:val="Normal"/>
        <w:numPr>
          <w:ilvl w:val="0"/>
          <w:numId w:val="13"/>
        </w:numPr>
        <w:tabs>
          <w:tab w:val="clear" w:pos="708"/>
          <w:tab w:val="left" w:pos="851" w:leader="none"/>
        </w:tabs>
        <w:spacing w:before="160" w:after="160"/>
        <w:jc w:val="both"/>
        <w:rPr>
          <w:rFonts w:ascii="Verdana" w:hAnsi="Verdana"/>
          <w:b/>
          <w:b/>
          <w:sz w:val="18"/>
        </w:rPr>
      </w:pPr>
      <w:r>
        <w:rPr>
          <w:rFonts w:ascii="Verdana" w:hAnsi="Verdana"/>
          <w:b/>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9" w:name="_Toc347486216"/>
      <w:bookmarkStart w:id="10" w:name="_Toc517794406"/>
      <w:r>
        <w:rPr>
          <w:rFonts w:ascii="Verdana" w:hAnsi="Verdana"/>
          <w:sz w:val="18"/>
        </w:rPr>
        <w:t>PREPARACIÓN DE PROPUESTAS</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11" w:name="_Toc517794407"/>
      <w:r>
        <w:rPr>
          <w:rFonts w:ascii="Verdana" w:hAnsi="Verdana"/>
          <w:sz w:val="18"/>
        </w:rPr>
        <w:t>MONEDA DEL PROCESO DE CONTRATACIÓN</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2"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2"/>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3" w:name="_Toc517794409"/>
      <w:r>
        <w:rPr>
          <w:rFonts w:ascii="Verdana" w:hAnsi="Verdana"/>
          <w:sz w:val="18"/>
        </w:rPr>
        <w:t>IDIOMA</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4" w:name="_Toc517794410"/>
      <w:r>
        <w:rPr>
          <w:rFonts w:ascii="Verdana" w:hAnsi="Verdana"/>
          <w:sz w:val="18"/>
        </w:rPr>
        <w:t>VALIDEZ DE LA PROPUESTA</w:t>
      </w:r>
      <w:bookmarkEnd w:id="14"/>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5"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5"/>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6"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7" w:name="_Toc347486225"/>
      <w:r>
        <w:rPr>
          <w:rFonts w:cs="Arial" w:ascii="Verdana" w:hAnsi="Verdana"/>
          <w:sz w:val="18"/>
          <w:szCs w:val="18"/>
        </w:rPr>
        <w:t>Efectuadas las modificaciones, podrá proceder a su presentación.</w:t>
      </w:r>
      <w:bookmarkEnd w:id="17"/>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8" w:name="_Toc347486230"/>
      <w:r>
        <w:rPr>
          <w:rFonts w:ascii="Verdana" w:hAnsi="Verdana"/>
          <w:sz w:val="18"/>
        </w:rPr>
        <w:t>EVALUACIÓN DE PROPUESTAS</w:t>
      </w:r>
      <w:bookmarkEnd w:id="18"/>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Más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9" w:name="_Toc347486231"/>
      <w:r>
        <w:rPr>
          <w:rFonts w:ascii="Verdana" w:hAnsi="Verdana"/>
          <w:sz w:val="18"/>
        </w:rPr>
        <w:t>EVALUACIÓN PRELIMINAR</w:t>
      </w:r>
      <w:bookmarkEnd w:id="1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20" w:name="_Toc347486232"/>
      <w:r>
        <w:rPr>
          <w:rFonts w:ascii="Verdana" w:hAnsi="Verdana"/>
          <w:sz w:val="18"/>
        </w:rPr>
        <w:t xml:space="preserve">MÉTODO DE SELECCIÓN Y ADJUDICACIÓN PRECIO EVALUADO MAS BAJO </w:t>
      </w:r>
      <w:bookmarkEnd w:id="20"/>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21"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2" w:name="_Toc347486244"/>
      <w:r>
        <w:rPr>
          <w:rFonts w:cs="Arial" w:ascii="Verdana" w:hAnsi="Verdana"/>
          <w:sz w:val="18"/>
          <w:szCs w:val="18"/>
        </w:rPr>
        <w:t>Otros aspectos que la Comisión de Evaluación y Calificación considere pertinentes.</w:t>
      </w:r>
      <w:bookmarkEnd w:id="22"/>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3" w:name="_Hlk181199190"/>
      <w:r>
        <w:rPr>
          <w:rFonts w:cs="Arial" w:ascii="Verdana" w:hAnsi="Verdana"/>
          <w:sz w:val="18"/>
          <w:szCs w:val="18"/>
          <w:lang w:val="es-BO"/>
        </w:rPr>
        <w:t>Las modificaciones al contrato podrán efectuarse utilizando las modalidades descritas en los Términos de Referencia</w:t>
      </w:r>
      <w:bookmarkEnd w:id="23"/>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4"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4"/>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6" w:name="_Hlk181199786"/>
      <w:bookmarkStart w:id="27" w:name="_Hlk181199786"/>
      <w:bookmarkEnd w:id="27"/>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8" w:name="_Hlk181199754"/>
            <w:bookmarkEnd w:id="28"/>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TINGUIPAYA </w:t>
            </w:r>
            <w:r>
              <w:rPr>
                <w:rFonts w:cs="Calibri" w:ascii="Verdana" w:hAnsi="Verdana"/>
                <w:b/>
                <w:bCs/>
                <w:sz w:val="16"/>
                <w:szCs w:val="16"/>
                <w:lang w:eastAsia="es-ES"/>
              </w:rPr>
              <w:t>– FASE (</w:t>
            </w:r>
            <w:r>
              <w:rPr>
                <w:rFonts w:cs="Calibri" w:ascii="Verdana" w:hAnsi="Verdana"/>
                <w:b/>
                <w:bCs/>
                <w:color w:val="FF0000"/>
                <w:sz w:val="16"/>
                <w:szCs w:val="16"/>
                <w:lang w:eastAsia="es-ES"/>
              </w:rPr>
              <w:t>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27</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3.031.889,98 </w:t>
            </w:r>
            <w:r>
              <w:rPr>
                <w:b/>
                <w:sz w:val="18"/>
                <w:szCs w:val="18"/>
                <w:lang w:val="es-BO"/>
              </w:rPr>
              <w:t>(</w:t>
            </w:r>
            <w:r>
              <w:rPr>
                <w:bCs/>
                <w:sz w:val="18"/>
                <w:szCs w:val="18"/>
                <w:lang w:val="es-BO"/>
              </w:rPr>
              <w:t>Tres Millones Treinta y Un Mil Ochocientos Ochenta y Nueve 98/1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9" w:name="_Hlk181199754"/>
            <w:bookmarkStart w:id="30" w:name="_Hlk181199754"/>
            <w:bookmarkEnd w:id="30"/>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1" w:name="_Hlk181199786"/>
      <w:bookmarkStart w:id="32" w:name="_Hlk181199786"/>
      <w:bookmarkEnd w:id="32"/>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3" w:name="_Toc347486253"/>
      <w:r>
        <w:rPr>
          <w:rFonts w:ascii="Verdana" w:hAnsi="Verdana"/>
          <w:sz w:val="18"/>
        </w:rPr>
        <w:t>TÉRMINOS DE REFERENCIA</w:t>
      </w:r>
      <w:bookmarkEnd w:id="33"/>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TINGUIPAYA – FASE (IX)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34" w:name="_Toc71811143"/>
      <w:r>
        <w:rPr>
          <w:rFonts w:cs="Tahoma" w:ascii="Tahoma" w:hAnsi="Tahoma"/>
          <w:b/>
          <w:bCs/>
          <w:color w:val="000000"/>
          <w:kern w:val="2"/>
        </w:rPr>
        <w:t>ANTECEDENTES</w:t>
      </w:r>
      <w:r>
        <w:rPr>
          <w:rFonts w:cs="Tahoma" w:ascii="Tahoma" w:hAnsi="Tahoma"/>
          <w:bCs/>
          <w:color w:val="000000"/>
          <w:kern w:val="2"/>
          <w:sz w:val="32"/>
          <w:szCs w:val="32"/>
        </w:rPr>
        <w:t>.</w:t>
      </w:r>
      <w:bookmarkEnd w:id="34"/>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TINGUIPAYA – FASE (IX)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5"/>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TINGUIPAYA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2"/>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2"/>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2"/>
        </w:numPr>
        <w:spacing w:lineRule="atLeast" w:line="260"/>
        <w:jc w:val="both"/>
        <w:rPr>
          <w:rFonts w:ascii="Tahoma" w:hAnsi="Tahoma" w:cs="Tahoma"/>
        </w:rPr>
      </w:pPr>
      <w:r>
        <w:rPr>
          <w:rFonts w:cs="Tahoma" w:ascii="Tahoma" w:hAnsi="Tahoma"/>
        </w:rPr>
        <w:t>Padre o madre soltera/o;</w:t>
      </w:r>
    </w:p>
    <w:p>
      <w:pPr>
        <w:pStyle w:val="Normal"/>
        <w:numPr>
          <w:ilvl w:val="0"/>
          <w:numId w:val="62"/>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2"/>
        </w:numPr>
        <w:spacing w:lineRule="atLeast" w:line="260"/>
        <w:jc w:val="both"/>
        <w:rPr>
          <w:rFonts w:ascii="Tahoma" w:hAnsi="Tahoma" w:cs="Tahoma"/>
        </w:rPr>
      </w:pPr>
      <w:r>
        <w:rPr>
          <w:rFonts w:cs="Tahoma" w:ascii="Tahoma" w:hAnsi="Tahoma"/>
        </w:rPr>
        <w:t>Adulto mayor en situación de abandono</w:t>
      </w:r>
    </w:p>
    <w:p>
      <w:pPr>
        <w:pStyle w:val="Normal"/>
        <w:numPr>
          <w:ilvl w:val="0"/>
          <w:numId w:val="62"/>
        </w:numPr>
        <w:spacing w:lineRule="atLeast" w:line="260"/>
        <w:jc w:val="both"/>
        <w:rPr>
          <w:rFonts w:ascii="Tahoma" w:hAnsi="Tahoma" w:cs="Tahoma"/>
        </w:rPr>
      </w:pPr>
      <w:r>
        <w:rPr>
          <w:rFonts w:cs="Tahoma" w:ascii="Tahoma" w:hAnsi="Tahoma"/>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6"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43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454"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4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3"/>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lang w:eastAsia="es-ES"/>
        </w:rPr>
      </w:pPr>
      <w:bookmarkStart w:id="37"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86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7"/>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41910</wp:posOffset>
            </wp:positionV>
            <wp:extent cx="5477510" cy="3352800"/>
            <wp:effectExtent l="0" t="0" r="0" b="0"/>
            <wp:wrapNone/>
            <wp:docPr id="4"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1" descr=""/>
                    <pic:cNvPicPr>
                      <a:picLocks noChangeAspect="1" noChangeArrowheads="1"/>
                    </pic:cNvPicPr>
                  </pic:nvPicPr>
                  <pic:blipFill>
                    <a:blip r:embed="rId4"/>
                    <a:stretch>
                      <a:fillRect/>
                    </a:stretch>
                  </pic:blipFill>
                  <pic:spPr bwMode="auto">
                    <a:xfrm>
                      <a:off x="0" y="0"/>
                      <a:ext cx="5477510"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9" w:name="_Toc71811146"/>
      <w:bookmarkStart w:id="40"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40"/>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1" w:name="_Toc71811146"/>
      <w:r>
        <w:rPr>
          <w:rFonts w:cs="Tahoma" w:ascii="Tahoma" w:hAnsi="Tahoma"/>
          <w:b/>
          <w:bCs/>
          <w:color w:val="000000"/>
          <w:kern w:val="2"/>
        </w:rPr>
        <w:t>UBICACIÓN GEOGRÁFICA DEL PROYECTO.</w:t>
      </w:r>
      <w:bookmarkEnd w:id="41"/>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C00000"/>
        </w:rPr>
        <w:t>TINGUIPAYA</w:t>
      </w:r>
      <w:r>
        <w:rPr>
          <w:rFonts w:cs="Tahoma" w:ascii="Tahoma" w:hAnsi="Tahoma"/>
          <w:color w:val="FF0000"/>
        </w:rPr>
        <w:t xml:space="preserve"> </w:t>
      </w:r>
      <w:r>
        <w:rPr>
          <w:rFonts w:cs="Tahoma" w:ascii="Tahoma" w:hAnsi="Tahoma"/>
        </w:rPr>
        <w:t xml:space="preserve">se encuentra en la provincia </w:t>
      </w:r>
      <w:r>
        <w:rPr>
          <w:rFonts w:cs="Tahoma" w:ascii="Tahoma" w:hAnsi="Tahoma"/>
          <w:color w:val="C00000"/>
        </w:rPr>
        <w:t>TOMAS FRIAS</w:t>
      </w:r>
      <w:r>
        <w:rPr>
          <w:rFonts w:cs="Tahoma" w:ascii="Tahoma" w:hAnsi="Tahoma"/>
        </w:rPr>
        <w:t xml:space="preserve">, del departamento de </w:t>
      </w:r>
      <w:r>
        <w:rPr>
          <w:rFonts w:cs="Tahoma" w:ascii="Tahoma" w:hAnsi="Tahoma"/>
          <w:color w:val="C00000"/>
        </w:rPr>
        <w:t xml:space="preserve">POTOSI </w:t>
      </w:r>
      <w:r>
        <w:rPr>
          <w:rFonts w:cs="Tahoma" w:ascii="Tahoma" w:hAnsi="Tahoma"/>
        </w:rPr>
        <w:t xml:space="preserve">limita al norte con </w:t>
      </w:r>
      <w:r>
        <w:rPr>
          <w:rFonts w:cs="Tahoma" w:ascii="Tahoma" w:hAnsi="Tahoma"/>
          <w:color w:val="C00000"/>
        </w:rPr>
        <w:t>el Municipios de Colquechaca, 1° Sección de la Provincia Chayanta y Ocurí 4° Sección de la misma</w:t>
      </w:r>
      <w:r>
        <w:rPr>
          <w:rFonts w:cs="Tahoma" w:ascii="Tahoma" w:hAnsi="Tahoma"/>
        </w:rPr>
        <w:t xml:space="preserve">, al este con </w:t>
      </w:r>
      <w:r>
        <w:rPr>
          <w:rFonts w:cs="Tahoma" w:ascii="Tahoma" w:hAnsi="Tahoma"/>
          <w:color w:val="C00000"/>
        </w:rPr>
        <w:t xml:space="preserve">el Municipio de Taco bamba, 3° Sección de la Provincia Cornelio Saavedra del Departamento de Potosí, </w:t>
      </w:r>
      <w:r>
        <w:rPr>
          <w:rFonts w:cs="Tahoma" w:ascii="Tahoma" w:hAnsi="Tahoma"/>
        </w:rPr>
        <w:t xml:space="preserve">al oeste con </w:t>
      </w:r>
      <w:r>
        <w:rPr>
          <w:rFonts w:cs="Tahoma" w:ascii="Tahoma" w:hAnsi="Tahoma"/>
          <w:color w:val="C00000"/>
        </w:rPr>
        <w:t xml:space="preserve">el Departamento de Oruro </w:t>
      </w:r>
      <w:r>
        <w:rPr>
          <w:rFonts w:cs="Tahoma" w:ascii="Tahoma" w:hAnsi="Tahoma"/>
        </w:rPr>
        <w:t xml:space="preserve">y al sur con </w:t>
      </w:r>
      <w:r>
        <w:rPr>
          <w:rFonts w:cs="Tahoma" w:ascii="Tahoma" w:hAnsi="Tahoma"/>
          <w:color w:val="C00000"/>
        </w:rPr>
        <w:t>los Municipios de Villa de Yocalla, 2° Sección de la Provincia Tomás Frías y Potosí Sección Capital</w:t>
      </w:r>
      <w:r>
        <w:rPr>
          <w:rFonts w:cs="Tahoma" w:ascii="Tahoma" w:hAnsi="Tahoma"/>
        </w:rPr>
        <w:t>.</w:t>
      </w:r>
    </w:p>
    <w:p>
      <w:pPr>
        <w:pStyle w:val="Normal"/>
        <w:spacing w:lineRule="atLeast" w:line="260"/>
        <w:jc w:val="both"/>
        <w:rPr>
          <w:rFonts w:ascii="Tahoma" w:hAnsi="Tahoma" w:cs="Tahoma"/>
        </w:rPr>
      </w:pPr>
      <w:r>
        <w:rPr>
          <w:rFonts w:cs="Tahoma" w:ascii="Tahoma" w:hAnsi="Tahoma"/>
        </w:rPr>
        <w:drawing>
          <wp:anchor behindDoc="0" distT="0" distB="0" distL="0" distR="0" simplePos="0" locked="0" layoutInCell="0" allowOverlap="1" relativeHeight="31">
            <wp:simplePos x="0" y="0"/>
            <wp:positionH relativeFrom="margin">
              <wp:align>center</wp:align>
            </wp:positionH>
            <wp:positionV relativeFrom="paragraph">
              <wp:posOffset>19685</wp:posOffset>
            </wp:positionV>
            <wp:extent cx="5657850" cy="3048000"/>
            <wp:effectExtent l="0" t="0" r="0" b="0"/>
            <wp:wrapNone/>
            <wp:docPr id="5"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2" descr=""/>
                    <pic:cNvPicPr>
                      <a:picLocks noChangeAspect="1" noChangeArrowheads="1"/>
                    </pic:cNvPicPr>
                  </pic:nvPicPr>
                  <pic:blipFill>
                    <a:blip r:embed="rId5"/>
                    <a:stretch>
                      <a:fillRect/>
                    </a:stretch>
                  </pic:blipFill>
                  <pic:spPr bwMode="auto">
                    <a:xfrm>
                      <a:off x="0" y="0"/>
                      <a:ext cx="5657850" cy="3048000"/>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2" w:name="_Toc71811147"/>
      <w:r>
        <w:rPr>
          <w:rFonts w:cs="Tahoma" w:ascii="Tahoma" w:hAnsi="Tahoma"/>
          <w:b/>
          <w:bCs/>
          <w:color w:val="000000"/>
          <w:kern w:val="2"/>
        </w:rPr>
        <w:t>NUMERO DE VIVIENDAS A SER INTERVENIDAS</w:t>
      </w:r>
      <w:bookmarkEnd w:id="42"/>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7"/>
        <w:gridCol w:w="1560"/>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7"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JERIRA</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43</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CUCHIPAYA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FALSURI</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ANTHURA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IRUPAMPA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TOMACUNCA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7</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lang w:eastAsia="es-BO"/>
              </w:rPr>
              <w:t>PUCA PAMPA</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8</w:t>
            </w:r>
          </w:p>
        </w:tc>
        <w:tc>
          <w:tcPr>
            <w:tcW w:w="362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b/>
                <w:b/>
                <w:bCs/>
                <w:color w:val="C00000"/>
                <w:lang w:eastAsia="es-BO"/>
              </w:rPr>
            </w:pPr>
            <w:r>
              <w:rPr>
                <w:rFonts w:cs="Tahoma" w:ascii="Tahoma" w:hAnsi="Tahoma"/>
                <w:b/>
                <w:bCs/>
                <w:color w:val="C00000"/>
              </w:rPr>
              <w:t>ILCHACO</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7"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43</w:t>
            </w:r>
          </w:p>
        </w:tc>
      </w:tr>
    </w:tbl>
    <w:p>
      <w:pPr>
        <w:pStyle w:val="Normal"/>
        <w:keepNext w:val="true"/>
        <w:numPr>
          <w:ilvl w:val="0"/>
          <w:numId w:val="0"/>
        </w:numPr>
        <w:spacing w:before="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43" w:name="_Toc71811148"/>
      <w:r>
        <w:rPr>
          <w:rFonts w:cs="Tahoma" w:ascii="Tahoma" w:hAnsi="Tahoma"/>
          <w:b/>
          <w:bCs/>
          <w:color w:val="000000"/>
          <w:kern w:val="2"/>
        </w:rPr>
        <w:t>ACCESO A LAS COMUNIDADES O BARRIO/ZONA/URBANIZACIÓN/JUNTA VECINAL BENEFICIADAS</w:t>
      </w:r>
      <w:bookmarkEnd w:id="43"/>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2146"/>
        <w:gridCol w:w="1984"/>
        <w:gridCol w:w="1417"/>
        <w:gridCol w:w="1598"/>
        <w:gridCol w:w="1706"/>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4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59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70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TINGUIPAYA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75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1:09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TINGUIPAYA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TOMACUNCA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14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0:21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TOMACUNCA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JERIRA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16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0:38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JERIRA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FALSURI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4.4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w:t>
            </w:r>
            <w:r>
              <w:rPr>
                <w:rFonts w:cs="Tahoma" w:ascii="Tahoma" w:hAnsi="Tahoma"/>
                <w:color w:val="C00000"/>
              </w:rPr>
              <w:t>0:11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FALSURI</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CUCHIPAYA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8.2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0:20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CUCHIPAYA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ILCHACO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1.3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ILCHACO</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ANTHURA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1.6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0:03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ANTHURA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IRU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4.1 KM</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0:06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IRU PAMPA</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rPr>
              <w:t>PUCA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1 KM </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0:02 HRS</w:t>
            </w:r>
          </w:p>
        </w:tc>
        <w:tc>
          <w:tcPr>
            <w:tcW w:w="17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4" w:name="_Toc49530406"/>
      <w:bookmarkStart w:id="45" w:name="_Toc49531233"/>
      <w:bookmarkStart w:id="46"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TINGUIPAYA – FASE (IX)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43</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1"/>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1"/>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7" w:name="_Hlk163833898"/>
      <w:r>
        <w:rPr>
          <w:rFonts w:cs="Tahoma" w:ascii="Tahoma" w:hAnsi="Tahoma"/>
        </w:rPr>
        <w:t xml:space="preserve">La Entidad Ejecutora, deberá gestionar los Certificados de no Propiedad a Nivel Nacional de los </w:t>
      </w:r>
      <w:r>
        <w:rPr>
          <w:rFonts w:cs="Tahoma" w:ascii="Tahoma" w:hAnsi="Tahoma"/>
          <w:b/>
          <w:bCs/>
          <w:color w:val="FF0000"/>
        </w:rPr>
        <w:t>86</w:t>
      </w:r>
      <w:r>
        <w:rPr>
          <w:rFonts w:cs="Tahoma" w:ascii="Tahoma" w:hAnsi="Tahoma"/>
        </w:rPr>
        <w:t xml:space="preserve"> beneficiarios emitidos por Derechos Reales, correspondientes al presente proyecto.</w:t>
      </w:r>
      <w:bookmarkEnd w:id="47"/>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8" w:name="_Toc71811150"/>
      <w:r>
        <w:rPr>
          <w:rFonts w:cs="Tahoma" w:ascii="Tahoma" w:hAnsi="Tahoma"/>
          <w:b/>
          <w:bCs/>
          <w:color w:val="000000"/>
          <w:kern w:val="2"/>
        </w:rPr>
        <w:t>ALCANCE DE LA CONSULTORÍA.</w:t>
      </w:r>
      <w:bookmarkEnd w:id="48"/>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bookmarkStart w:id="49" w:name="_Hlk170288552"/>
      <w:r>
        <w:rPr>
          <w:rFonts w:cs="Tahoma" w:ascii="Tahoma" w:hAnsi="Tahoma"/>
          <w:b/>
          <w:color w:val="000000"/>
        </w:rPr>
        <w:t>- SELECCIÓN DE BENEFICIARIOS</w:t>
      </w:r>
    </w:p>
    <w:p>
      <w:pPr>
        <w:pStyle w:val="Normal"/>
        <w:numPr>
          <w:ilvl w:val="0"/>
          <w:numId w:val="74"/>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rPr>
      </w:pPr>
      <w:bookmarkStart w:id="50"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50"/>
    </w:p>
    <w:p>
      <w:pPr>
        <w:pStyle w:val="Normal"/>
        <w:numPr>
          <w:ilvl w:val="0"/>
          <w:numId w:val="74"/>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rPr>
      </w:pPr>
      <w:bookmarkStart w:id="51"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51"/>
    </w:p>
    <w:p>
      <w:pPr>
        <w:pStyle w:val="Normal"/>
        <w:spacing w:lineRule="atLeast" w:line="260"/>
        <w:jc w:val="both"/>
        <w:rPr>
          <w:rFonts w:ascii="Tahoma" w:hAnsi="Tahoma" w:cs="Tahoma"/>
        </w:rPr>
      </w:pPr>
      <w:r>
        <w:rPr>
          <w:rFonts w:cs="Tahoma" w:ascii="Tahoma" w:hAnsi="Tahoma"/>
          <w:b/>
          <w:vanish w:val="false"/>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7"/>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7"/>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8"/>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8"/>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8"/>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52" w:name="_Hlk170292260"/>
      <w:bookmarkStart w:id="53" w:name="_Hlk170292239"/>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53"/>
      <w:r>
        <w:rPr>
          <w:rFonts w:cs="Tahoma" w:ascii="Tahoma" w:hAnsi="Tahoma"/>
        </w:rPr>
        <w:t>de no Propiedad previo a la ejecución física de la obra.</w:t>
      </w:r>
      <w:bookmarkEnd w:id="52"/>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54" w:name="_Hlk179540707"/>
      <w:bookmarkEnd w:id="54"/>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Pr>
          <w:rFonts w:cs="Tahoma" w:ascii="Tahoma" w:hAnsi="Tahoma"/>
        </w:rPr>
        <w:t>, mediante visitas al sitio, aprobado por el Inspector</w:t>
      </w:r>
      <w:bookmarkStart w:id="56" w:name="_Hlk113371329"/>
      <w:r>
        <w:rPr>
          <w:rFonts w:cs="Tahoma" w:ascii="Tahoma" w:hAnsi="Tahoma"/>
        </w:rPr>
        <w:t xml:space="preserve"> y validado por el Fiscal del Proyecto, previo acompañamiento.</w:t>
      </w:r>
      <w:bookmarkEnd w:id="56"/>
    </w:p>
    <w:p>
      <w:pPr>
        <w:pStyle w:val="ListParagraph"/>
        <w:widowControl w:val="false"/>
        <w:numPr>
          <w:ilvl w:val="0"/>
          <w:numId w:val="48"/>
        </w:numPr>
        <w:ind w:left="284" w:hanging="283"/>
        <w:jc w:val="both"/>
        <w:rPr>
          <w:rFonts w:ascii="Tahoma" w:hAnsi="Tahoma" w:cs="Tahoma"/>
        </w:rPr>
      </w:pPr>
      <w:bookmarkStart w:id="57" w:name="_Hlk179540707"/>
      <w:bookmarkStart w:id="58" w:name="_Hlk146287105"/>
      <w:bookmarkStart w:id="59" w:name="_Hlk146287826"/>
      <w:bookmarkEnd w:id="57"/>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8"/>
      <w:bookmarkEnd w:id="59"/>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86</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0" w:name="_Hlk145577011"/>
      <w:bookmarkStart w:id="61"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0"/>
      <w:bookmarkEnd w:id="61"/>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rPr>
      </w:pPr>
      <w:bookmarkStart w:id="62"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63" w:name="_Hlk126076662"/>
      <w:r>
        <w:rPr>
          <w:rFonts w:cs="Tahoma" w:ascii="Tahoma" w:hAnsi="Tahoma"/>
        </w:rPr>
        <w:t xml:space="preserve">en la implantación de </w:t>
      </w:r>
      <w:bookmarkEnd w:id="63"/>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2"/>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14"/>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64" w:name="_Hlk158992379"/>
      <w:r>
        <w:rPr>
          <w:rFonts w:cs="Tahoma" w:ascii="Tahoma" w:hAnsi="Tahoma"/>
        </w:rPr>
        <w:t>incumplimiento de aporte propio, a la tercera notificación de incumplimiento.</w:t>
      </w:r>
      <w:bookmarkEnd w:id="64"/>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65"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65"/>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20"/>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22"/>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24"/>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6"/>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66" w:name="_Hlk126076967"/>
      <w:r>
        <w:rPr>
          <w:rFonts w:cs="Tahoma" w:ascii="Tahoma" w:hAnsi="Tahoma"/>
          <w:color w:val="000000"/>
        </w:rPr>
        <w:t xml:space="preserve">cantidades asignadas </w:t>
      </w:r>
      <w:bookmarkEnd w:id="66"/>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7" w:name="_Toc71811151"/>
      <w:r>
        <w:rPr>
          <w:rFonts w:cs="Tahoma" w:ascii="Tahoma" w:hAnsi="Tahoma"/>
          <w:b/>
          <w:bCs/>
          <w:color w:val="000000"/>
          <w:kern w:val="2"/>
        </w:rPr>
        <w:t>FASES DE LA CONSULTORÍA.</w:t>
      </w:r>
      <w:bookmarkEnd w:id="67"/>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7009BD37">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009BD3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002B8D10">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002B8D1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3F81FD9F">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F81FD9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289D7DAE">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89D7DAE"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9069CC7">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9069CC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68" w:name="_Hlk164185315"/>
      <w:r>
        <w:rPr>
          <w:rFonts w:cs="Tahoma" w:ascii="Tahoma" w:hAnsi="Tahoma"/>
        </w:rPr>
        <w:t>Gestión y presentación de los Certificados de no Propiedad a nivel nacional de los beneficiarios del proyecto.</w:t>
      </w:r>
      <w:bookmarkEnd w:id="68"/>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1"/>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9" w:name="_Toc71811152"/>
      <w:r>
        <w:rPr>
          <w:rFonts w:cs="Tahoma" w:ascii="Tahoma" w:hAnsi="Tahoma"/>
          <w:b/>
          <w:bCs/>
          <w:color w:val="000000"/>
          <w:kern w:val="2"/>
        </w:rPr>
        <w:t>PLAZO DE EJECUCIÓN DE LA CONSULTORÍA</w:t>
      </w:r>
      <w:bookmarkEnd w:id="69"/>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0" w:name="_Toc71811153"/>
      <w:r>
        <w:rPr>
          <w:rFonts w:cs="Tahoma" w:ascii="Tahoma" w:hAnsi="Tahoma"/>
          <w:b/>
          <w:bCs/>
          <w:color w:val="000000"/>
          <w:kern w:val="2"/>
        </w:rPr>
        <w:t>CRONOGRAMA DE PLAZOS DE LA CONSULTORÍA</w:t>
      </w:r>
      <w:bookmarkEnd w:id="7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1"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2" w:name="_Hlk179541938"/>
            <w:bookmarkEnd w:id="7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49E7287D">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9E7287D"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2EC4DA21">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3647200A">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43CE7329">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3CE7329"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11FA9D8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05E43FF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07AA9468">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7AA946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1F95ADA5">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1A3912B9">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A3912B9"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2A28F63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9D01E1F">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9D01E1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3" w:name="_Hlk179541938"/>
            <w:bookmarkStart w:id="74" w:name="_Hlk179541938"/>
            <w:bookmarkEnd w:id="74"/>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7"/>
        </w:numPr>
        <w:spacing w:lineRule="atLeast" w:line="240"/>
        <w:ind w:left="426" w:hanging="360"/>
        <w:jc w:val="both"/>
        <w:rPr>
          <w:rFonts w:ascii="Tahoma" w:hAnsi="Tahoma" w:cs="Tahoma"/>
        </w:rPr>
      </w:pPr>
      <w:bookmarkStart w:id="75" w:name="_Hlk179541326"/>
      <w:r>
        <w:rPr>
          <w:rFonts w:cs="Tahoma" w:ascii="Tahoma" w:hAnsi="Tahoma"/>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5"/>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5"/>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7"/>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rPr>
      </w:pPr>
      <w:bookmarkStart w:id="76" w:name="_Hlk170197918"/>
      <w:bookmarkStart w:id="77" w:name="_Hlk164185058"/>
      <w:bookmarkEnd w:id="77"/>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rPr>
      </w:pPr>
      <w:bookmarkStart w:id="78" w:name="_Hlk179541326"/>
      <w:bookmarkStart w:id="79"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8"/>
      <w:bookmarkEnd w:id="79"/>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80" w:name="_Hlk164185058"/>
      <w:bookmarkStart w:id="81" w:name="_Hlk179541991"/>
      <w:bookmarkEnd w:id="80"/>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2" w:name="_Toc71811154"/>
      <w:bookmarkStart w:id="8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1"/>
      <w:bookmarkEnd w:id="8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4" w:name="_Toc71811154"/>
      <w:r>
        <w:rPr>
          <w:rFonts w:cs="Tahoma" w:ascii="Tahoma" w:hAnsi="Tahoma"/>
          <w:b/>
          <w:bCs/>
          <w:color w:val="000000"/>
          <w:kern w:val="2"/>
        </w:rPr>
        <w:t>PRECIO REFERENCIAL</w:t>
      </w:r>
      <w:bookmarkEnd w:id="8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rPr>
        <w:t xml:space="preserve">Bs. </w:t>
      </w:r>
      <w:r>
        <w:rPr>
          <w:rFonts w:cs="Tahoma" w:ascii="Tahoma" w:hAnsi="Tahoma"/>
          <w:b/>
          <w:bCs/>
          <w:color w:val="FF0000"/>
          <w:sz w:val="16"/>
          <w:szCs w:val="16"/>
          <w:lang w:eastAsia="es-ES"/>
        </w:rPr>
        <w:t>3.031.889,98 (Tres Millones Treinta y Un Mil Ochocientos Ochenta y Nueve 98/100 bolivianos)</w:t>
      </w:r>
      <w:r>
        <w:rPr>
          <w:rFonts w:cs="Tahoma" w:ascii="Tahoma" w:hAnsi="Tahoma"/>
          <w:b/>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5" w:name="_Toc71811155"/>
      <w:r>
        <w:rPr>
          <w:rFonts w:cs="Tahoma" w:ascii="Tahoma" w:hAnsi="Tahoma"/>
          <w:b/>
          <w:bCs/>
          <w:color w:val="000000"/>
          <w:kern w:val="2"/>
        </w:rPr>
        <w:t>FORMA DE PAGO.</w:t>
      </w:r>
      <w:bookmarkEnd w:id="85"/>
    </w:p>
    <w:p>
      <w:pPr>
        <w:pStyle w:val="Normal"/>
        <w:spacing w:lineRule="auto" w:line="300"/>
        <w:jc w:val="both"/>
        <w:rPr>
          <w:rFonts w:ascii="Tahoma" w:hAnsi="Tahoma" w:cs="Tahoma"/>
        </w:rPr>
      </w:pPr>
      <w:r>
        <w:rPr>
          <w:rFonts w:cs="Tahoma" w:ascii="Tahoma" w:hAnsi="Tahoma"/>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855"/>
        <w:gridCol w:w="601"/>
        <w:gridCol w:w="1192"/>
        <w:gridCol w:w="923"/>
        <w:gridCol w:w="1364"/>
        <w:gridCol w:w="1410"/>
        <w:gridCol w:w="2917"/>
      </w:tblGrid>
      <w:tr>
        <w:trPr>
          <w:trHeight w:val="220" w:hRule="atLeast"/>
        </w:trPr>
        <w:tc>
          <w:tcPr>
            <w:tcW w:w="85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08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85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79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85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54.100,01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1.245.444,95</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1.299.544,96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1.245.444,95</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1.353.644,97</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108.200,02</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270.500,03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270.500,03</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85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0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541.000,08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2.490.889,90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3.031.889,98</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6" w:name="_Toc71811156"/>
      <w:r>
        <w:rPr>
          <w:rFonts w:cs="Tahoma" w:ascii="Tahoma" w:hAnsi="Tahoma"/>
          <w:b/>
          <w:bCs/>
          <w:color w:val="000000"/>
          <w:kern w:val="2"/>
        </w:rPr>
        <w:t>SEGUROS</w:t>
      </w:r>
      <w:bookmarkEnd w:id="8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7" w:name="_Hlk144978880"/>
      <w:r>
        <w:rPr>
          <w:rFonts w:cs="Tahoma" w:ascii="Tahoma" w:hAnsi="Tahoma"/>
          <w:lang w:eastAsia="es-BO"/>
        </w:rPr>
        <w:t xml:space="preserve">hábiles </w:t>
      </w:r>
      <w:bookmarkEnd w:id="8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8" w:name="_Toc71811157"/>
      <w:r>
        <w:rPr>
          <w:rFonts w:cs="Tahoma" w:ascii="Tahoma" w:hAnsi="Tahoma"/>
          <w:b/>
          <w:bCs/>
          <w:color w:val="000000"/>
          <w:kern w:val="2"/>
        </w:rPr>
        <w:t>PAGO DE IMPUESTOS</w:t>
      </w:r>
      <w:bookmarkEnd w:id="88"/>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9" w:name="_Toc71811158"/>
      <w:r>
        <w:rPr>
          <w:rFonts w:cs="Tahoma" w:ascii="Tahoma" w:hAnsi="Tahoma"/>
          <w:b/>
          <w:bCs/>
          <w:color w:val="000000"/>
          <w:kern w:val="2"/>
        </w:rPr>
        <w:t>APORTES AL SISTEMA INTEGRADO DE PENSIONES</w:t>
      </w:r>
      <w:bookmarkEnd w:id="89"/>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90" w:name="_Hlk132898907"/>
      <w:bookmarkEnd w:id="90"/>
      <w:r>
        <w:rPr>
          <w:rFonts w:cs="Tahoma" w:ascii="Tahoma" w:hAnsi="Tahoma"/>
          <w:b/>
          <w:bCs/>
          <w:color w:val="000000"/>
          <w:kern w:val="2"/>
        </w:rPr>
        <w:t>GARANTÍAS</w:t>
      </w:r>
    </w:p>
    <w:p>
      <w:pPr>
        <w:pStyle w:val="Normal"/>
        <w:jc w:val="both"/>
        <w:rPr>
          <w:rFonts w:ascii="Tahoma" w:hAnsi="Tahoma" w:cs="Tahoma"/>
        </w:rPr>
      </w:pPr>
      <w:bookmarkStart w:id="91" w:name="_Hlk132898907"/>
      <w:bookmarkStart w:id="92" w:name="_Hlk179541408"/>
      <w:bookmarkStart w:id="93" w:name="_Toc81229595"/>
      <w:bookmarkStart w:id="94" w:name="_Toc81314437"/>
      <w:bookmarkEnd w:id="91"/>
      <w:bookmarkEnd w:id="92"/>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5" w:name="_Hlk127960441"/>
      <w:r>
        <w:rPr>
          <w:rFonts w:cs="Tahoma" w:ascii="Tahoma" w:hAnsi="Tahoma"/>
          <w:lang w:eastAsia="es-BO"/>
        </w:rPr>
        <w:t xml:space="preserve">se establece las </w:t>
      </w:r>
      <w:bookmarkEnd w:id="93"/>
      <w:bookmarkEnd w:id="94"/>
      <w:bookmarkEnd w:id="95"/>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96" w:name="_Hlk179541408"/>
      <w:bookmarkStart w:id="97" w:name="_Toc100250575"/>
      <w:bookmarkStart w:id="98" w:name="_Toc81314438"/>
      <w:bookmarkEnd w:id="96"/>
      <w:r>
        <w:rPr>
          <w:rFonts w:cs="Tahoma" w:ascii="Tahoma" w:hAnsi="Tahoma"/>
          <w:b/>
        </w:rPr>
        <w:t>GARANTÍA DE SERIEDAD DE PROPUESTA:</w:t>
      </w:r>
      <w:bookmarkEnd w:id="97"/>
      <w:bookmarkEnd w:id="98"/>
    </w:p>
    <w:p>
      <w:pPr>
        <w:pStyle w:val="Normal"/>
        <w:spacing w:lineRule="atLeast" w:line="260"/>
        <w:jc w:val="both"/>
        <w:rPr>
          <w:rFonts w:ascii="Tahoma" w:hAnsi="Tahoma" w:cs="Tahoma"/>
          <w:lang w:eastAsia="es-BO"/>
        </w:rPr>
      </w:pPr>
      <w:bookmarkStart w:id="99" w:name="_Toc81314439"/>
      <w:bookmarkStart w:id="100" w:name="_Toc81229597"/>
      <w:bookmarkEnd w:id="99"/>
      <w:bookmarkEnd w:id="10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1" w:name="_Hlk144978940"/>
      <w:r>
        <w:rPr>
          <w:rFonts w:cs="Tahoma" w:ascii="Tahoma" w:hAnsi="Tahoma"/>
          <w:lang w:eastAsia="es-BO"/>
        </w:rPr>
        <w:t xml:space="preserve">cero punto cinco por ciento (0.5%) </w:t>
      </w:r>
      <w:bookmarkEnd w:id="10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2" w:name="_Toc81314439"/>
      <w:bookmarkStart w:id="103" w:name="_Toc81229597"/>
      <w:bookmarkStart w:id="104" w:name="_Toc81314440"/>
      <w:bookmarkStart w:id="105" w:name="_Toc81229598"/>
      <w:bookmarkEnd w:id="102"/>
      <w:bookmarkEnd w:id="103"/>
      <w:r>
        <w:rPr>
          <w:rFonts w:cs="Tahoma" w:ascii="Tahoma" w:hAnsi="Tahoma"/>
          <w:lang w:eastAsia="es-BO"/>
        </w:rPr>
        <w:t xml:space="preserve">La vigencia de esta garantía deberá tener noventa (90) días calendario a partir de la apertura de la propuesta establecida en el DCD. </w:t>
      </w:r>
      <w:bookmarkEnd w:id="104"/>
      <w:bookmarkEnd w:id="105"/>
    </w:p>
    <w:p>
      <w:pPr>
        <w:pStyle w:val="Normal"/>
        <w:spacing w:lineRule="atLeast" w:line="260"/>
        <w:jc w:val="both"/>
        <w:rPr>
          <w:rFonts w:ascii="Tahoma" w:hAnsi="Tahoma" w:cs="Tahoma"/>
          <w:lang w:eastAsia="es-BO"/>
        </w:rPr>
      </w:pPr>
      <w:bookmarkStart w:id="106" w:name="_Toc81314441"/>
      <w:bookmarkStart w:id="107" w:name="_Toc81229599"/>
      <w:r>
        <w:rPr>
          <w:rFonts w:cs="Tahoma" w:ascii="Tahoma" w:hAnsi="Tahoma"/>
          <w:lang w:eastAsia="es-BO"/>
        </w:rPr>
        <w:t>La Garantía de Seriedad de Propuesta será devuelta conforme a lo establecido en el DCD.</w:t>
      </w:r>
      <w:bookmarkEnd w:id="106"/>
      <w:bookmarkEnd w:id="10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108" w:name="_Toc71811161"/>
      <w:r>
        <w:rPr>
          <w:rFonts w:cs="Tahoma" w:ascii="Tahoma" w:hAnsi="Tahoma"/>
          <w:b/>
          <w:bCs/>
          <w:color w:val="000000"/>
          <w:kern w:val="2"/>
        </w:rPr>
        <w:t>GARANTÍA DE CUMPLIMIENTO DE CONTRATO</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9" w:name="_Hlk144978977"/>
      <w:r>
        <w:rPr>
          <w:rFonts w:eastAsia="Calibri" w:cs="Tahoma" w:ascii="Tahoma" w:hAnsi="Tahoma"/>
          <w:lang w:eastAsia="es-BO"/>
        </w:rPr>
        <w:t>La garantía, será devuelta a la Entidad Ejecutora, una vez que se cuente con el pago final del servicio de consultoría</w:t>
      </w:r>
      <w:bookmarkEnd w:id="10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bookmarkStart w:id="110" w:name="_Hlk179535873"/>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11"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1"/>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12" w:name="_Toc71811159"/>
      <w:r>
        <w:rPr>
          <w:rFonts w:cs="Tahoma" w:ascii="Tahoma" w:hAnsi="Tahoma"/>
          <w:b/>
          <w:bCs/>
          <w:color w:val="000000"/>
          <w:kern w:val="2"/>
        </w:rPr>
        <w:t>GARANTÍA DE CORRECTA INVERSIÓN DE ANTICIPO PARA EL COMPONENTE DE PROVISIÓN/DOTACIÓN DE MATERIALES DE CONSTRUCCIÓN</w:t>
      </w:r>
      <w:bookmarkEnd w:id="112"/>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3"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3"/>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4" w:name="_Toc71811160"/>
      <w:r>
        <w:rPr>
          <w:rFonts w:cs="Tahoma" w:ascii="Tahoma" w:hAnsi="Tahoma"/>
          <w:b/>
          <w:bCs/>
          <w:color w:val="000000"/>
          <w:kern w:val="2"/>
        </w:rPr>
        <w:t>LIBERACIÓN DE GARANTÍA DE ANTICIPO</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5" w:name="_Toc71811162"/>
      <w:r>
        <w:rPr>
          <w:rFonts w:cs="Tahoma" w:ascii="Tahoma" w:hAnsi="Tahoma"/>
          <w:b/>
          <w:bCs/>
          <w:color w:val="000000"/>
          <w:kern w:val="2"/>
        </w:rPr>
        <w:t>MULTAS</w:t>
      </w:r>
      <w:bookmarkEnd w:id="115"/>
      <w:r>
        <w:rPr>
          <w:rFonts w:cs="Tahoma" w:ascii="Tahoma" w:hAnsi="Tahoma"/>
          <w:b/>
          <w:bCs/>
          <w:color w:val="000000"/>
          <w:kern w:val="2"/>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bookmarkStart w:id="116" w:name="_Hlk118649982"/>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17"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7"/>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18" w:name="_Hlk118650022"/>
      <w:bookmarkStart w:id="119" w:name="_Hlk170235409"/>
      <w:r>
        <w:rPr>
          <w:rFonts w:cs="Tahoma" w:ascii="Tahoma" w:hAnsi="Tahoma"/>
        </w:rPr>
        <w:t xml:space="preserve">Cuando la Entidad Ejecutora contratada, retrase, incumpla o </w:t>
      </w:r>
      <w:bookmarkStart w:id="120" w:name="_Hlk144979071"/>
      <w:r>
        <w:rPr>
          <w:rFonts w:cs="Tahoma" w:ascii="Tahoma" w:hAnsi="Tahoma"/>
        </w:rPr>
        <w:t xml:space="preserve">no se encuentre en obra </w:t>
      </w:r>
      <w:bookmarkEnd w:id="120"/>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19"/>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8"/>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1"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1"/>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2" w:name="_Hlk144979166"/>
      <w:bookmarkStart w:id="123"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4" w:name="_Hlk144979166"/>
      <w:r>
        <w:rPr>
          <w:rFonts w:eastAsia="Calibri" w:cs="Tahoma" w:ascii="Tahoma" w:hAnsi="Tahoma"/>
          <w:b/>
          <w:iCs/>
        </w:rPr>
        <w:t>Resolución de Contrato:</w:t>
      </w:r>
      <w:bookmarkEnd w:id="124"/>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25" w:name="_Toc71811163"/>
      <w:r>
        <w:rPr>
          <w:rFonts w:cs="Tahoma" w:ascii="Tahoma" w:hAnsi="Tahoma"/>
          <w:b/>
          <w:bCs/>
          <w:color w:val="000000"/>
          <w:kern w:val="2"/>
        </w:rPr>
        <w:t>MODIFICACIONES AL CONTRATO</w:t>
      </w:r>
      <w:bookmarkEnd w:id="125"/>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26" w:name="_Hlk179542202"/>
      <w:r>
        <w:rPr>
          <w:rFonts w:cs="Tahoma" w:ascii="Tahoma" w:hAnsi="Tahoma"/>
        </w:rPr>
        <w:t>La Orden de Cambio podrá presentarse hasta 10 días calendario antes de la recepción provisional del proyecto.</w:t>
      </w:r>
      <w:bookmarkEnd w:id="126"/>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7"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27"/>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bookmarkStart w:id="128" w:name="_Hlk144979257"/>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29" w:name="_Hlk144979257"/>
      <w:r>
        <w:rPr>
          <w:rFonts w:cs="Tahoma" w:ascii="Tahoma" w:hAnsi="Tahoma"/>
        </w:rPr>
        <w:t>El contrato modificatorio podrá presentarse hasta 10 días calendario antes de la recepción provisional del proyecto.</w:t>
      </w:r>
      <w:bookmarkEnd w:id="129"/>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5"/>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0" w:name="_Hlk144979275"/>
      <w:r>
        <w:rPr>
          <w:rFonts w:cs="Tahoma" w:ascii="Tahoma" w:hAnsi="Tahoma"/>
          <w:color w:val="000000"/>
        </w:rPr>
        <w:t xml:space="preserve">directa </w:t>
      </w:r>
      <w:bookmarkEnd w:id="13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31" w:name="_Toc71811164"/>
      <w:r>
        <w:rPr>
          <w:rFonts w:cs="Tahoma" w:ascii="Tahoma" w:hAnsi="Tahoma"/>
          <w:b/>
          <w:bCs/>
          <w:color w:val="000000"/>
          <w:kern w:val="2"/>
        </w:rPr>
        <w:t>INFORMES / PRODUCTOS ESPERADOS:</w:t>
      </w:r>
      <w:bookmarkEnd w:id="13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rPr>
      </w:pPr>
      <w:bookmarkStart w:id="132"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2"/>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rPr>
      </w:pPr>
      <w:bookmarkStart w:id="133" w:name="_Hlk170288826"/>
      <w:bookmarkEnd w:id="133"/>
      <w:r>
        <w:rPr>
          <w:rFonts w:cs="Tahoma" w:ascii="Tahoma" w:hAnsi="Tahoma"/>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rPr>
      </w:pPr>
      <w:bookmarkStart w:id="134" w:name="_Hlk170288826"/>
      <w:bookmarkStart w:id="135" w:name="_Hlk126939647"/>
      <w:bookmarkEnd w:id="134"/>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5"/>
    </w:p>
    <w:p>
      <w:pPr>
        <w:pStyle w:val="Normal"/>
        <w:numPr>
          <w:ilvl w:val="0"/>
          <w:numId w:val="52"/>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eastAsia="es-ES_tradnl"/>
        </w:rPr>
      </w:pPr>
      <w:bookmarkStart w:id="136" w:name="_Hlk179542285"/>
      <w:bookmarkStart w:id="137" w:name="_Hlk170198030"/>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36"/>
      <w:bookmarkEnd w:id="137"/>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38"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8"/>
    </w:p>
    <w:p>
      <w:pPr>
        <w:pStyle w:val="Normal"/>
        <w:numPr>
          <w:ilvl w:val="0"/>
          <w:numId w:val="70"/>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39" w:name="_Hlk158993206"/>
      <w:bookmarkStart w:id="140" w:name="_Hlk128047540"/>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41" w:name="_Hlk158887837"/>
      <w:r>
        <w:rPr>
          <w:rFonts w:cs="Tahoma" w:ascii="Tahoma" w:hAnsi="Tahoma"/>
          <w:color w:val="000000"/>
          <w:szCs w:val="16"/>
        </w:rPr>
        <w:t>posteriores a la recepción de la solicitud</w:t>
      </w:r>
      <w:bookmarkEnd w:id="141"/>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9"/>
      <w:bookmarkEnd w:id="14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42"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42"/>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43" w:name="_Hlk146908551"/>
      <w:r>
        <w:rPr>
          <w:rFonts w:cs="Tahoma" w:ascii="Tahoma" w:hAnsi="Tahoma"/>
        </w:rPr>
        <w:t>Se debe mencionar que, una vez entregado el penúltimo producto se dará inicio al periodo contractual del plazo para el ultimo producto.</w:t>
      </w:r>
      <w:bookmarkEnd w:id="143"/>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44"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45" w:name="_Hlk158887966"/>
      <w:r>
        <w:rPr>
          <w:rFonts w:cs="Tahoma" w:ascii="Tahoma" w:hAnsi="Tahoma"/>
          <w:b/>
          <w:bCs/>
          <w:color w:val="000000"/>
          <w:szCs w:val="16"/>
        </w:rPr>
        <w:t>dos (2) días calendario</w:t>
      </w:r>
      <w:r>
        <w:rPr>
          <w:rFonts w:cs="Tahoma" w:ascii="Tahoma" w:hAnsi="Tahoma"/>
          <w:color w:val="000000"/>
          <w:szCs w:val="16"/>
        </w:rPr>
        <w:t xml:space="preserve"> </w:t>
      </w:r>
      <w:bookmarkStart w:id="146" w:name="_Hlk158887989"/>
      <w:bookmarkEnd w:id="145"/>
      <w:r>
        <w:rPr>
          <w:rFonts w:cs="Tahoma" w:ascii="Tahoma" w:hAnsi="Tahoma"/>
          <w:color w:val="000000"/>
          <w:szCs w:val="16"/>
        </w:rPr>
        <w:t>posteriores a la recepción de la solicitud</w:t>
      </w:r>
      <w:bookmarkEnd w:id="146"/>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4"/>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rPr>
      </w:pPr>
      <w:bookmarkStart w:id="147" w:name="_Hlk117853558"/>
      <w:bookmarkEnd w:id="147"/>
      <w:r>
        <w:rPr>
          <w:rFonts w:cs="Tahoma" w:ascii="Tahoma" w:hAnsi="Tahoma"/>
          <w:szCs w:val="16"/>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rPr>
      </w:pPr>
      <w:bookmarkStart w:id="148" w:name="_Hlk117853558"/>
      <w:bookmarkStart w:id="149" w:name="_Hlk117853529"/>
      <w:bookmarkEnd w:id="148"/>
      <w:r>
        <w:rPr>
          <w:rFonts w:cs="Tahoma" w:ascii="Tahoma" w:hAnsi="Tahoma"/>
          <w:szCs w:val="16"/>
        </w:rPr>
        <w:t xml:space="preserve">Actas de Recepción Individual a los beneficiarios (3 ejemplares originales más fotocopia de carnet de identidad del titular y del cónyuge vigentes). </w:t>
      </w:r>
      <w:bookmarkEnd w:id="149"/>
    </w:p>
    <w:p>
      <w:pPr>
        <w:pStyle w:val="Normal"/>
        <w:numPr>
          <w:ilvl w:val="0"/>
          <w:numId w:val="72"/>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50" w:name="_Toc71811165"/>
      <w:bookmarkStart w:id="151" w:name="_Toc536520830"/>
      <w:r>
        <w:rPr>
          <w:rFonts w:cs="Tahoma" w:ascii="Tahoma" w:hAnsi="Tahoma"/>
          <w:b/>
          <w:bCs/>
          <w:color w:val="000000"/>
          <w:kern w:val="2"/>
        </w:rPr>
        <w:t>PERFIL DEL PROPONENTE</w:t>
      </w:r>
      <w:bookmarkEnd w:id="150"/>
      <w:bookmarkEnd w:id="151"/>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2" w:name="_Toc71811166"/>
      <w:bookmarkStart w:id="153"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4"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5" w:name="_Hlk179960365"/>
      <w:r>
        <w:rPr>
          <w:rFonts w:cs="Tahoma" w:ascii="Tahoma" w:hAnsi="Tahoma"/>
        </w:rPr>
        <w:t xml:space="preserve">Para la experiencia con particulares, debe presentar Contrato notariado con documento de respaldo de conclusión. </w:t>
      </w:r>
      <w:bookmarkEnd w:id="15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6" w:name="_Toc71811166"/>
      <w:bookmarkStart w:id="157" w:name="_Toc536520831"/>
      <w:r>
        <w:rPr>
          <w:rFonts w:cs="Tahoma" w:ascii="Tahoma" w:hAnsi="Tahoma"/>
          <w:b/>
          <w:bCs/>
          <w:color w:val="000000"/>
          <w:kern w:val="2"/>
        </w:rPr>
        <w:t>PERSONAL REQUERIDO</w:t>
      </w:r>
      <w:bookmarkEnd w:id="156"/>
      <w:bookmarkEnd w:id="15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8" w:name="_Hlk144979420"/>
      <w:bookmarkStart w:id="159"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0"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1"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2"/>
      <w:bookmarkEnd w:id="16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3" w:name="_Hlk179541676"/>
      <w:r>
        <w:rPr>
          <w:rFonts w:cs="Tahoma" w:ascii="Tahoma" w:hAnsi="Tahoma"/>
          <w:b/>
        </w:rPr>
        <w:t>(NO SE CONSIDERA COMO PERSONAL CLAVE)</w:t>
      </w:r>
      <w:bookmarkEnd w:id="16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4" w:name="_Hlk144979420"/>
            <w:r>
              <w:rPr>
                <w:rFonts w:cs="Tahoma" w:ascii="Tahoma" w:hAnsi="Tahoma"/>
                <w:color w:val="FF0000"/>
                <w:sz w:val="18"/>
                <w:szCs w:val="18"/>
              </w:rPr>
              <w:t>1 mes</w:t>
            </w:r>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9542968"/>
      <w:bookmarkStart w:id="169" w:name="_Hlk170205284"/>
      <w:bookmarkStart w:id="170" w:name="_Toc536520832"/>
      <w:bookmarkStart w:id="171" w:name="_Toc71811167"/>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8"/>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3" w:name="_Toc536520832"/>
      <w:bookmarkStart w:id="174" w:name="_Toc71811167"/>
      <w:r>
        <w:rPr>
          <w:rFonts w:cs="Tahoma" w:ascii="Tahoma" w:hAnsi="Tahoma"/>
          <w:b/>
          <w:bCs/>
          <w:color w:val="000000"/>
          <w:kern w:val="2"/>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color w:val="C00000"/>
                <w:lang w:eastAsia="es-ES"/>
              </w:rPr>
            </w:pPr>
            <w:r>
              <w:rPr>
                <w:rFonts w:cs="Tahoma" w:ascii="Verdana" w:hAnsi="Verdana"/>
                <w:b/>
                <w:bCs/>
                <w:color w:val="C00000"/>
              </w:rPr>
              <w:t>CUCHIPAYA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color w:val="C00000"/>
                <w:lang w:eastAsia="es-BO"/>
              </w:rPr>
            </w:pPr>
            <w:r>
              <w:rPr>
                <w:rFonts w:cs="Tahoma" w:ascii="Verdana" w:hAnsi="Verdana"/>
                <w:b/>
                <w:bCs/>
                <w:color w:val="C00000"/>
              </w:rPr>
              <w:t>JERIRA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eastAsia="es-ES"/>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75" w:name="_Toc71811168"/>
      <w:bookmarkStart w:id="176" w:name="_Toc536520833"/>
      <w:r>
        <w:rPr>
          <w:rFonts w:cs="Tahoma" w:ascii="Tahoma" w:hAnsi="Tahoma"/>
          <w:b/>
          <w:bCs/>
          <w:color w:val="000000"/>
          <w:kern w:val="2"/>
        </w:rPr>
        <w:t>EQUIPO, MAQUINARIA, VEHÍCULOS Y OTROS</w:t>
      </w:r>
      <w:bookmarkEnd w:id="175"/>
      <w:bookmarkEnd w:id="176"/>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80" w:name="_Toc71811169"/>
      <w:bookmarkStart w:id="181" w:name="_Toc536520834"/>
      <w:r>
        <w:rPr>
          <w:rFonts w:cs="Tahoma" w:ascii="Tahoma" w:hAnsi="Tahoma"/>
          <w:b/>
          <w:bCs/>
          <w:color w:val="000000"/>
          <w:kern w:val="2"/>
        </w:rPr>
        <w:t>HERRAMIENTAS E INSUMOS</w:t>
      </w:r>
      <w:bookmarkEnd w:id="180"/>
      <w:bookmarkEnd w:id="181"/>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84" w:name="_Hlk170235456"/>
      <w:bookmarkStart w:id="185" w:name="_Toc71811170"/>
      <w:bookmarkEnd w:id="184"/>
      <w:r>
        <w:rPr>
          <w:rFonts w:cs="Tahoma" w:ascii="Tahoma" w:hAnsi="Tahoma"/>
          <w:b/>
          <w:bCs/>
          <w:color w:val="000000"/>
          <w:kern w:val="2"/>
        </w:rPr>
        <w:t>CONTROL Y SEGUIMIENTO DE LA CONSULTORÍA</w:t>
      </w:r>
      <w:bookmarkEnd w:id="183"/>
      <w:bookmarkEnd w:id="185"/>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86" w:name="_Hlk170236919"/>
    </w:p>
    <w:p>
      <w:pPr>
        <w:pStyle w:val="Normal"/>
        <w:numPr>
          <w:ilvl w:val="1"/>
          <w:numId w:val="70"/>
        </w:numPr>
        <w:spacing w:lineRule="atLeast" w:line="260"/>
        <w:ind w:left="426" w:hanging="360"/>
        <w:jc w:val="both"/>
        <w:rPr>
          <w:rFonts w:ascii="Tahoma" w:hAnsi="Tahoma" w:cs="Tahoma"/>
        </w:rPr>
      </w:pPr>
      <w:bookmarkStart w:id="187" w:name="_Hlk170235486"/>
      <w:r>
        <w:rPr>
          <w:rFonts w:cs="Tahoma" w:ascii="Tahoma" w:hAnsi="Tahoma"/>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88" w:name="_Toc536520844"/>
      <w:r>
        <w:rPr>
          <w:rFonts w:cs="Tahoma" w:ascii="Tahoma" w:hAnsi="Tahoma"/>
          <w:color w:val="000000"/>
        </w:rPr>
        <w:t xml:space="preserve"> </w:t>
      </w:r>
      <w:bookmarkStart w:id="189" w:name="_Toc536520845"/>
      <w:bookmarkEnd w:id="188"/>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90" w:name="_Toc71811171"/>
      <w:bookmarkStart w:id="191" w:name="_Toc49774783"/>
      <w:r>
        <w:rPr>
          <w:rFonts w:cs="Tahoma" w:ascii="Tahoma" w:hAnsi="Tahoma"/>
          <w:b/>
          <w:bCs/>
          <w:color w:val="000000"/>
          <w:kern w:val="2"/>
        </w:rPr>
        <w:t>DETALLE REFERENCIAL DE LOS COMPONENTE</w:t>
      </w:r>
      <w:bookmarkEnd w:id="191"/>
      <w:r>
        <w:rPr>
          <w:rFonts w:cs="Tahoma" w:ascii="Tahoma" w:hAnsi="Tahoma"/>
          <w:b/>
          <w:bCs/>
          <w:color w:val="000000"/>
          <w:kern w:val="2"/>
        </w:rPr>
        <w:t>S (PROVISIÓN Y DOTACIÓN DE MATERIALES DE CONSTRUCCIÓN Y APORTE PROPIO).</w:t>
      </w:r>
      <w:bookmarkEnd w:id="190"/>
    </w:p>
    <w:p>
      <w:pPr>
        <w:pStyle w:val="Normal"/>
        <w:rPr/>
      </w:pPr>
      <w:r>
        <w:rPr/>
      </w:r>
    </w:p>
    <w:p>
      <w:pPr>
        <w:pStyle w:val="Normal"/>
        <w:numPr>
          <w:ilvl w:val="0"/>
          <w:numId w:val="59"/>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342,28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323,84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1.118,00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4.988,00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4.601,00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216,72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148,67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211,13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516,00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1.350,20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774,00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774,00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3.095,24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713,80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208,14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1.296,17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19.636,59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4.859,86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3.381,30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259,68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2.334,47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156,95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485,90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295,02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2.064,00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342,28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559,00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303,92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377,71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117,87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1.312,90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1.051,94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142,74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124.302,25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31.304,00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794,98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7.221,79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4.574,78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9.976,63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609,14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410,52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33,06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2.662,59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356,90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75,77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918,14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176,30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387,00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215,00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1.026,84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1.290,00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4.622,50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516,00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359,39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709,50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391,73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sz w:val="18"/>
                <w:szCs w:val="18"/>
              </w:rPr>
              <w:t>86,00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sz w:val="18"/>
                <w:szCs w:val="18"/>
              </w:rPr>
              <w:t>70.667,36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541.000,08</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2" w:name="_Toc71811172"/>
      <w:bookmarkStart w:id="193" w:name="_Toc536520829"/>
      <w:r>
        <w:rPr>
          <w:rFonts w:cs="Tahoma" w:ascii="Tahoma" w:hAnsi="Tahoma"/>
          <w:b/>
          <w:bCs/>
          <w:color w:val="000000"/>
          <w:kern w:val="2"/>
        </w:rPr>
        <w:t>PLANILLA DE INSUMOS OPERATIVOS DE LA ENTIDAD EJECUTORA</w:t>
      </w:r>
      <w:bookmarkEnd w:id="192"/>
      <w:bookmarkEnd w:id="193"/>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21"/>
        <w:gridCol w:w="1331"/>
        <w:gridCol w:w="1301"/>
      </w:tblGrid>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33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301"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1800</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86</w:t>
            </w:r>
          </w:p>
        </w:tc>
      </w:tr>
      <w:tr>
        <w:trPr>
          <w:trHeight w:val="113"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30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113" w:hRule="atLeast"/>
        </w:trPr>
        <w:tc>
          <w:tcPr>
            <w:tcW w:w="662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3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3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94" w:name="_Toc71811173"/>
      <w:r>
        <w:rPr>
          <w:rFonts w:cs="Tahoma" w:ascii="Tahoma" w:hAnsi="Tahoma"/>
          <w:b/>
          <w:bCs/>
          <w:color w:val="000000"/>
          <w:kern w:val="2"/>
        </w:rPr>
        <w:t>DETALLE DE ÍTEMS DEL PROYECTO</w:t>
      </w:r>
      <w:bookmarkEnd w:id="194"/>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p>
      <w:pPr>
        <w:pStyle w:val="Normal"/>
        <w:rPr/>
      </w:pPr>
      <w:r>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65"/>
        <w:gridCol w:w="1794"/>
      </w:tblGrid>
      <w:tr>
        <w:trPr>
          <w:trHeight w:val="113"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6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9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113"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6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9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95" w:name="_Toc71811174"/>
      <w:bookmarkStart w:id="196" w:name="_Toc71811174"/>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89"/>
      <w:r>
        <w:rPr>
          <w:rFonts w:cs="Tahoma" w:ascii="Tahoma" w:hAnsi="Tahoma"/>
          <w:b/>
          <w:bCs/>
          <w:color w:val="000000"/>
          <w:kern w:val="2"/>
        </w:rPr>
        <w:t>CONSTRUCCIÓN</w:t>
      </w:r>
      <w:bookmarkEnd w:id="196"/>
    </w:p>
    <w:p>
      <w:pPr>
        <w:pStyle w:val="Normal"/>
        <w:rPr/>
      </w:pPr>
      <w:r>
        <w:rPr/>
      </w:r>
    </w:p>
    <w:p>
      <w:pPr>
        <w:pStyle w:val="Normal"/>
        <w:jc w:val="both"/>
        <w:rPr>
          <w:rFonts w:ascii="Tahoma" w:hAnsi="Tahoma" w:cs="Tahoma"/>
        </w:rPr>
      </w:pPr>
      <w:bookmarkStart w:id="197" w:name="_Hlk170208442"/>
      <w:bookmarkStart w:id="198"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9" w:name="_Hlk170208442"/>
      <w:bookmarkStart w:id="200" w:name="_Hlk179543256"/>
      <w:r>
        <w:rPr>
          <w:rFonts w:cs="Tahoma" w:ascii="Tahoma" w:hAnsi="Tahoma"/>
        </w:rPr>
        <w:t>En caso de ser requerido, el Inspector de Proyecto aclarará o ampliará las características de un insumo a ser adquirido para la ejecución del proyecto.</w:t>
      </w:r>
      <w:bookmarkEnd w:id="199"/>
      <w:bookmarkEnd w:id="200"/>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201" w:name="_Hlk118650468"/>
      <w:r>
        <w:rPr>
          <w:rFonts w:cs="Tahoma" w:ascii="Tahoma" w:hAnsi="Tahoma"/>
          <w:b/>
        </w:rPr>
        <w:t>de construcción</w:t>
      </w:r>
      <w:bookmarkEnd w:id="201"/>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202" w:name="_Toc71811176"/>
      <w:bookmarkStart w:id="203" w:name="_Toc536520846"/>
      <w:r>
        <w:rPr>
          <w:rFonts w:cs="Tahoma" w:ascii="Tahoma" w:hAnsi="Tahoma"/>
          <w:b/>
          <w:bCs/>
          <w:color w:val="000000"/>
          <w:kern w:val="2"/>
        </w:rPr>
        <w:t>ESPECIFICACIONES TÉCNICAS DE MATERIALES</w:t>
      </w:r>
      <w:bookmarkEnd w:id="203"/>
      <w:r>
        <w:rPr>
          <w:rFonts w:cs="Tahoma" w:ascii="Tahoma" w:hAnsi="Tahoma"/>
          <w:b/>
          <w:bCs/>
          <w:color w:val="000000"/>
          <w:kern w:val="2"/>
        </w:rPr>
        <w:t xml:space="preserve"> DE CONSTRUCCIÓN</w:t>
      </w:r>
      <w:bookmarkEnd w:id="202"/>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684"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679"/>
        <w:gridCol w:w="1834"/>
        <w:gridCol w:w="1020"/>
        <w:gridCol w:w="6150"/>
      </w:tblGrid>
      <w:tr>
        <w:trPr>
          <w:trHeight w:val="17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TINGUIPAYA -FASE(IX) 2024- POTOSI</w:t>
            </w:r>
          </w:p>
        </w:tc>
      </w:tr>
      <w:tr>
        <w:trPr>
          <w:trHeight w:val="170" w:hRule="atLeast"/>
        </w:trPr>
        <w:tc>
          <w:tcPr>
            <w:tcW w:w="9683"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67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2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15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67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2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15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bookmarkStart w:id="204" w:name="_Hlk184157807"/>
    </w:p>
    <w:p>
      <w:pPr>
        <w:pStyle w:val="Normal"/>
        <w:spacing w:lineRule="auto" w:line="300"/>
        <w:jc w:val="both"/>
        <w:rPr>
          <w:rFonts w:ascii="Tahoma" w:hAnsi="Tahoma" w:cs="Tahoma"/>
          <w:b/>
          <w:b/>
          <w:iCs/>
        </w:rPr>
      </w:pPr>
      <w:r>
        <w:rPr>
          <w:rFonts w:cs="Tahoma" w:ascii="Tahoma" w:hAnsi="Tahoma"/>
          <w:b/>
          <w:iC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2">
            <wp:simplePos x="0" y="0"/>
            <wp:positionH relativeFrom="column">
              <wp:posOffset>3877945</wp:posOffset>
            </wp:positionH>
            <wp:positionV relativeFrom="paragraph">
              <wp:posOffset>-144780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7175936C">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35" style="position:absolute;left:207;top:-2417;width:370;height:1686"/>
                <v:group id="shape_0" alt="Grupo 44" style="position:absolute;left:-265;top:-3091;width:7683;height:3080">
                  <v:group id="shape_0" alt="Grupo 45" style="position:absolute;left:-265;top:-3091;width:7683;height:3080">
                    <v:rect id="shape_0" ID="Cuadro de texto 46"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 style="position:absolute;left:-265;top:-3091;width:7633;height:3080">
                      <v:rect id="shape_0" ID="Cuadro de texto 48"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9" style="position:absolute;left:-265;top:-3091;width:6398;height:3080">
                        <v:group id="shape_0" alt="Grupo 50" style="position:absolute;left:-265;top:-3091;width:6398;height:2431">
                          <v:group id="shape_0" alt="Grupo 51" style="position:absolute;left:675;top:-3091;width:5458;height:2431">
                            <v:group id="shape_0" alt="Grupo 52"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17"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18"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19"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87"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empedrado y contrapiso de cemento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mc:AlternateContent>
          <mc:Choice Requires="wps">
            <w:drawing>
              <wp:inline distT="0" distB="0" distL="0" distR="0" wp14:anchorId="27202956">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27202956"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3" w:name="_Hlk161513692"/>
      <w:r>
        <w:rPr>
          <w:rFonts w:eastAsia="Arial" w:cs="Tahoma" w:ascii="Tahoma" w:hAnsi="Tahoma"/>
          <w:b/>
          <w:sz w:val="18"/>
          <w:szCs w:val="18"/>
        </w:rPr>
        <w:t>Preparación de la Superficie</w:t>
      </w:r>
      <w:bookmarkEnd w:id="21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4"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5"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5"/>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6"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7"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7"/>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8" w:name="_Hlk95686236"/>
      <w:bookmarkEnd w:id="218"/>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9" w:name="_Hlk95686236"/>
      <w:bookmarkStart w:id="220" w:name="_Hlk95686228"/>
      <w:bookmarkStart w:id="221" w:name="_Hlk95686236"/>
      <w:bookmarkStart w:id="222" w:name="_Hlk95686228"/>
      <w:bookmarkEnd w:id="221"/>
    </w:p>
    <w:p>
      <w:pPr>
        <w:pStyle w:val="Normal"/>
        <w:widowControl w:val="false"/>
        <w:spacing w:before="0" w:after="120"/>
        <w:jc w:val="both"/>
        <w:rPr>
          <w:rFonts w:ascii="Tahoma" w:hAnsi="Tahoma" w:eastAsia="Arial" w:cs="Tahoma"/>
          <w:b/>
          <w:b/>
          <w:bCs/>
          <w:sz w:val="18"/>
          <w:szCs w:val="18"/>
        </w:rPr>
      </w:pPr>
      <w:bookmarkStart w:id="223" w:name="_Hlk95686228"/>
      <w:r>
        <w:rPr>
          <w:rFonts w:eastAsia="Arial" w:cs="Tahoma" w:ascii="Tahoma" w:hAnsi="Tahoma"/>
          <w:b/>
          <w:bCs/>
          <w:sz w:val="18"/>
          <w:szCs w:val="18"/>
        </w:rPr>
        <w:t>Aplicación del Revestimiento</w:t>
      </w:r>
      <w:bookmarkEnd w:id="223"/>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4" w:name="_Hlk94715458"/>
      <w:bookmarkEnd w:id="224"/>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5" w:name="_Hlk94715458"/>
      <w:bookmarkStart w:id="226" w:name="_Hlk94715458"/>
      <w:bookmarkEnd w:id="226"/>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1" w:name="_Hlk166508075"/>
      <w:r>
        <w:rPr>
          <w:rFonts w:eastAsia="Arial" w:cs="Tahoma" w:ascii="Tahoma" w:hAnsi="Tahoma"/>
          <w:sz w:val="18"/>
          <w:szCs w:val="18"/>
        </w:rPr>
        <w:t>proyecto</w:t>
      </w:r>
      <w:bookmarkEnd w:id="231"/>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2" w:name="_Hlk67220710"/>
      <w:bookmarkStart w:id="233" w:name="_Hlk67220710"/>
      <w:bookmarkEnd w:id="233"/>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bookmarkEnd w:id="235"/>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36" w:name="_Hlk95056544"/>
      <w:bookmarkEnd w:id="236"/>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37" w:name="_Hlk95056544"/>
      <w:bookmarkStart w:id="238" w:name="_Hlk95056544"/>
      <w:bookmarkEnd w:id="238"/>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rPr>
      </w:pPr>
      <w:r>
        <w:rPr>
          <w:rFonts w:eastAsia="Arial" w:cs="Tahoma" w:ascii="Tahoma" w:hAnsi="Tahoma"/>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39"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bookmarkStart w:id="241" w:name="_Hlk164171005"/>
            <w:r>
              <w:rPr>
                <w:rFonts w:eastAsia="Verdana" w:cs="Tahoma" w:ascii="Tahoma" w:hAnsi="Tahoma"/>
                <w:b/>
                <w:kern w:val="0"/>
                <w:sz w:val="18"/>
                <w:szCs w:val="18"/>
                <w:lang w:val="es-ES" w:bidi="ar-SA"/>
              </w:rPr>
              <w:t>INSTALACIÓN ELÉCTRICA (PUNTO TOMACORRIENTE DOBLE)</w:t>
            </w:r>
            <w:bookmarkEnd w:id="241"/>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2" w:name="_Hlk99440952"/>
      <w:bookmarkStart w:id="243"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2"/>
      <w:bookmarkEnd w:id="243"/>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4"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rPr>
      </w:pPr>
      <w:r>
        <w:rPr>
          <w:rFonts w:eastAsia="Arial" w:cs="Tahoma" w:ascii="Tahoma" w:hAnsi="Tahoma"/>
          <w:sz w:val="18"/>
          <w:szCs w:val="18"/>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25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30"/>
        <w:gridCol w:w="1888"/>
        <w:gridCol w:w="972"/>
        <w:gridCol w:w="5762"/>
      </w:tblGrid>
      <w:tr>
        <w:trPr>
          <w:trHeight w:val="20" w:hRule="atLeast"/>
        </w:trPr>
        <w:tc>
          <w:tcPr>
            <w:tcW w:w="63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8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9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76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63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188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9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76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eastAsia="es-ES"/>
        </w:rPr>
      </w:pPr>
      <w:r>
        <w:rPr>
          <w:rFonts w:eastAsia="Arial" w:cs="Tahoma" w:ascii="Tahoma" w:hAnsi="Tahoma"/>
          <w:iCs/>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bookmarkEnd w:id="204"/>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5" w:name="_Hlk181199973"/>
      <w:bookmarkEnd w:id="245"/>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6"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6"/>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8" w:name="_Hlk181210009"/>
      <w:r>
        <w:rPr>
          <w:rFonts w:cs="Arial" w:ascii="Verdana" w:hAnsi="Verdana"/>
          <w:sz w:val="18"/>
          <w:szCs w:val="18"/>
          <w:lang w:val="es-BO"/>
        </w:rPr>
        <w:t>Testimonio de Contrato de Asociación Accidental, cuando corresponda.</w:t>
      </w:r>
      <w:bookmarkEnd w:id="248"/>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9" w:name="_Hlk181199973"/>
      <w:bookmarkStart w:id="250" w:name="_Hlk181199973"/>
      <w:bookmarkEnd w:id="250"/>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1" w:name="_Hlk181200721"/>
            <w:bookmarkEnd w:id="251"/>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2" w:name="_Hlk181200721"/>
            <w:bookmarkStart w:id="253" w:name="_Hlk181200721"/>
            <w:bookmarkEnd w:id="253"/>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2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70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70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70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323,84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1.118,00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4.988,00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4.601,00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216,72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148,67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211,13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1.350,20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774,00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3.095,24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713,80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208,14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1.296,17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19.636,59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4.859,86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3.381,30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259,68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2.334,47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156,95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485,90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295,02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342,28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559,00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303,92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377,71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117,87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1.312,90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1.051,94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142,74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124.302,25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31.304,00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794,98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7.221,79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4.574,78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9.976,63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609,14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410,52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33,06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2.662,59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75,77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918,14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176,30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387,00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1.026,84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4.622,50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359,39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391,73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70.667,36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541.000,08</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541.000,08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541.000,08</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70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center"/>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4" w:name="_Hlk181201425"/>
      <w:bookmarkStart w:id="255"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5"/>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6" w:name="_Hlk181201699"/>
            <w:bookmarkEnd w:id="256"/>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7" w:name="_Hlk181201699"/>
            <w:bookmarkStart w:id="258" w:name="_Hlk181201699"/>
            <w:bookmarkEnd w:id="25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9" w:name="_Hlk181201795"/>
            <w:bookmarkEnd w:id="259"/>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0" w:name="_Hlk181201795"/>
            <w:bookmarkStart w:id="261" w:name="_Hlk181201795"/>
            <w:bookmarkEnd w:id="261"/>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2" w:name="_Hlk181201860"/>
            <w:bookmarkEnd w:id="262"/>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3" w:name="_Hlk181201860"/>
            <w:bookmarkStart w:id="264" w:name="_Hlk181201860"/>
            <w:bookmarkEnd w:id="264"/>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47216889"/>
    </w:sdtPr>
    <w:sdtContent>
      <w:p>
        <w:pPr>
          <w:pStyle w:val="Piedepgina"/>
          <w:jc w:val="right"/>
          <w:rPr/>
        </w:pPr>
        <w:r>
          <w:rPr/>
          <w:fldChar w:fldCharType="begin"/>
        </w:r>
        <w:r>
          <w:rPr/>
          <w:instrText xml:space="preserve"> PAGE </w:instrText>
        </w:r>
        <w:r>
          <w:rPr/>
          <w:fldChar w:fldCharType="separate"/>
        </w:r>
        <w:r>
          <w:rPr/>
          <w:t>191</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85923175"/>
    </w:sdtPr>
    <w:sdtContent>
      <w:p>
        <w:pPr>
          <w:pStyle w:val="Piedepgina"/>
          <w:jc w:val="right"/>
          <w:rPr/>
        </w:pPr>
        <w:r>
          <w:rPr/>
          <w:fldChar w:fldCharType="begin"/>
        </w:r>
        <w:r>
          <w:rPr/>
          <w:instrText xml:space="preserve"> PAGE </w:instrText>
        </w:r>
        <w:r>
          <w:rPr/>
          <w:fldChar w:fldCharType="separate"/>
        </w:r>
        <w:r>
          <w:rPr/>
          <w:t>191</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2">
    <w:name w:val="Tabla con cuadrícula17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2">
    <w:name w:val="Tabla con cuadrícula COPA7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2">
    <w:name w:val="Tabla con cuadrícula COPA8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2">
    <w:name w:val="Tabla con cuadrícula COPA9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2">
    <w:name w:val="Tabla con cuadrícula COPA3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2">
    <w:name w:val="Tabla con cuadrícula COPA1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2">
    <w:name w:val="Tabla con cuadrícula COPA2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2">
    <w:name w:val="Tabla con cuadrícula COPA3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2">
    <w:name w:val="Tabla con cuadrícula COPA4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2">
    <w:name w:val="Tabla con cuadrícula COPA5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2">
    <w:name w:val="Tabla con cuadrícula COPA6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2">
    <w:name w:val="Tabla con cuadrícula18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2">
    <w:name w:val="Tabla con cuadrícula COPA7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2">
    <w:name w:val="Tabla con cuadrícula COPA8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2">
    <w:name w:val="Tabla con cuadrícula COPA9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2">
    <w:name w:val="Tabla con cuadrícula COPA3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2">
    <w:name w:val="Tabla con cuadrícula COPA4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2">
    <w:name w:val="Tabla de cuadrícula 7 con colores12"/>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2">
    <w:name w:val="Tabla con cuadrícula COPA4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2">
    <w:name w:val="Tabla con cuadrícula COPA5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2">
    <w:name w:val="Tabla con cuadrícula COPA59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2">
    <w:name w:val="Tabla con cuadrícula COPA6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2">
    <w:name w:val="Tabla con cuadrícula COPA6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2">
    <w:name w:val="Tabla con cuadrícula COPA114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2">
    <w:name w:val="Tabla con cuadrícula COPA2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2">
    <w:name w:val="Tabla con cuadrícula COPA3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2">
    <w:name w:val="Tabla con cuadrícula COPA4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2">
    <w:name w:val="Tabla con cuadrícula COPA5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2">
    <w:name w:val="Tabla con cuadrícula COPA6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2">
    <w:name w:val="Tabla con cuadrícula19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2">
    <w:name w:val="Tabla con cuadrícula COPA7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2">
    <w:name w:val="Tabla con cuadrícula COPA8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2">
    <w:name w:val="Tabla con cuadrícula COPA9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2">
    <w:name w:val="Tabla con cuadrícula COPA7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2">
    <w:name w:val="Tabla con cuadrícula COPA115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2">
    <w:name w:val="Tabla con cuadrícula COPA2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2">
    <w:name w:val="Tabla con cuadrícula COPA3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2">
    <w:name w:val="Tabla con cuadrícula COPA4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2">
    <w:name w:val="Tabla con cuadrícula COPA5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2">
    <w:name w:val="Tabla con cuadrícula COPA6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2">
    <w:name w:val="Tabla con cuadrícula110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2">
    <w:name w:val="Tabla con cuadrícula COPA7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2">
    <w:name w:val="Tabla con cuadrícula COPA8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2">
    <w:name w:val="Tabla con cuadrícula COPA910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2">
    <w:name w:val="Tabla con cuadrícula COPA8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2">
    <w:name w:val="Tabla con cuadrícula COPA1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2">
    <w:name w:val="Tabla con cuadrícula COPA21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2">
    <w:name w:val="Tabla con cuadrícula COPA3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2">
    <w:name w:val="Tabla con cuadrícula COPA4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2">
    <w:name w:val="Tabla con cuadrícula COPA5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2">
    <w:name w:val="Tabla con cuadrícula COPA61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2">
    <w:name w:val="Tabla con cuadrícula1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2">
    <w:name w:val="Tabla con cuadrícula COPA7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2">
    <w:name w:val="Tabla con cuadrícula COPA81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333AF-2203-4481-945B-D57BB5F5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Application>LibreOffice/7.3.7.2$Linux_X86_64 LibreOffice_project/30$Build-2</Application>
  <AppVersion>15.0000</AppVersion>
  <Pages>192</Pages>
  <Words>85375</Words>
  <Characters>462287</Characters>
  <CharactersWithSpaces>543013</CharactersWithSpaces>
  <Paragraphs>6087</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2025-03-13T21:52:00Z</cp:lastPrinted>
  <dcterms:modified xsi:type="dcterms:W3CDTF">2025-03-17T17:01:44Z</dcterms:modified>
  <cp:revision>89</cp:revision>
  <dc:subject/>
  <dc:title/>
</cp:coreProperties>
</file>

<file path=docProps/custom.xml><?xml version="1.0" encoding="utf-8"?>
<Properties xmlns="http://schemas.openxmlformats.org/officeDocument/2006/custom-properties" xmlns:vt="http://schemas.openxmlformats.org/officeDocument/2006/docPropsVTypes"/>
</file>