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TERCERA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TERCERA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0"/>
        </w:numPr>
        <w:spacing w:before="0" w:after="0"/>
        <w:ind w:left="786" w:hanging="0"/>
        <w:jc w:val="both"/>
        <w:rPr>
          <w:rFonts w:ascii="Verdana" w:hAnsi="Verdana"/>
          <w:sz w:val="18"/>
        </w:rPr>
      </w:pPr>
      <w:r>
        <w:rPr/>
      </w:r>
    </w:p>
    <w:p>
      <w:pPr>
        <w:pStyle w:val="Ttulo11"/>
        <w:spacing w:before="0" w:after="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38"/>
        <w:gridCol w:w="24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xml:space="preserve">– POTOSI </w:t>
            </w:r>
            <w:r>
              <w:rPr>
                <w:rFonts w:cs="Calibri" w:ascii="Verdana" w:hAnsi="Verdana"/>
                <w:b/>
                <w:bCs/>
                <w:color w:val="E40000"/>
                <w:sz w:val="16"/>
                <w:szCs w:val="16"/>
                <w:lang w:eastAsia="es-ES"/>
              </w:rPr>
              <w:t>(TERCERA CONVOCATORIA</w:t>
            </w:r>
            <w:r>
              <w:rPr>
                <w:rFonts w:cs="Calibri" w:ascii="Verdana" w:hAnsi="Verdana"/>
                <w:b/>
                <w:bCs/>
                <w:color w:val="FF0000"/>
                <w:sz w:val="16"/>
                <w:szCs w:val="16"/>
                <w:lang w:eastAsia="es-ES"/>
              </w:rPr>
              <w:t>)</w:t>
            </w:r>
          </w:p>
        </w:tc>
        <w:tc>
          <w:tcPr>
            <w:tcW w:w="24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3.059.530,95 </w:t>
            </w:r>
            <w:r>
              <w:rPr>
                <w:b/>
                <w:sz w:val="18"/>
                <w:szCs w:val="18"/>
                <w:lang w:val="es-BO"/>
              </w:rPr>
              <w:t>(</w:t>
            </w:r>
            <w:r>
              <w:rPr>
                <w:bCs/>
                <w:sz w:val="18"/>
                <w:szCs w:val="18"/>
                <w:lang w:val="es-BO"/>
              </w:rPr>
              <w:t>Tres Millones Cincuenta y Nueve Mil Quinientos Treinta 95/1</w:t>
            </w:r>
            <w:r>
              <w:rPr>
                <w:sz w:val="18"/>
                <w:szCs w:val="18"/>
                <w:lang w:val="es-BO"/>
              </w:rPr>
              <w:t>00 bolivianos</w:t>
            </w:r>
            <w:r>
              <w:rPr>
                <w:b/>
                <w:sz w:val="18"/>
                <w:szCs w:val="18"/>
                <w:lang w:val="es-BO"/>
              </w:rPr>
              <w:t>)</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Cs/>
                <w:sz w:val="16"/>
                <w:szCs w:val="16"/>
                <w:lang w:val="es-BO"/>
              </w:rPr>
            </w:pPr>
            <w:r>
              <w:rPr>
                <w:rFonts w:cs="Arial" w:ascii="Arial" w:hAnsi="Arial"/>
                <w:bCs/>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Publicación en la página web de la AEVIVIENDA / Invitación.</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VILLA DE SACACA – FASE (XVII) 2025-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VILLA DE SACACA - FASE (XVII)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Normal"/>
        <w:rPr>
          <w:rFonts w:ascii="Tahoma" w:hAnsi="Tahoma" w:cs="Tahoma"/>
          <w:u w:val="single"/>
        </w:rPr>
      </w:pPr>
      <w:r>
        <w:rPr>
          <w:rFonts w:cs="Tahoma" w:ascii="Tahoma" w:hAnsi="Tahoma"/>
          <w:u w:val="single"/>
        </w:rPr>
      </w:r>
      <w:bookmarkStart w:id="44" w:name="_Toc71811146"/>
      <w:bookmarkStart w:id="45"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729E10A9">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ListParagraph"/>
        <w:widowControl w:val="false"/>
        <w:numPr>
          <w:ilvl w:val="0"/>
          <w:numId w:val="107"/>
        </w:numPr>
        <w:spacing w:before="0" w:after="0"/>
        <w:contextualSpacing/>
        <w:jc w:val="both"/>
        <w:rPr>
          <w:rFonts w:ascii="Tahoma" w:hAnsi="Tahoma" w:cs="Tahoma"/>
          <w:bCs/>
          <w:lang w:val="es-ES_tradnl" w:eastAsia="es-ES_tradnl"/>
        </w:rPr>
      </w:pPr>
      <w:bookmarkStart w:id="4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6"/>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7" w:name="_Toc71811146"/>
      <w:r>
        <w:rPr>
          <w:rFonts w:cs="Tahoma" w:ascii="Tahoma" w:hAnsi="Tahoma"/>
          <w:b/>
          <w:bCs/>
          <w:color w:val="000000"/>
          <w:kern w:val="2"/>
          <w:lang w:val="es-ES_tradnl"/>
        </w:rPr>
        <w:t>UBICACIÓN GEOGRÁFICA DEL PROYECTO.</w:t>
      </w:r>
      <w:bookmarkEnd w:id="47"/>
    </w:p>
    <w:p>
      <w:pPr>
        <w:pStyle w:val="ListParagraph"/>
        <w:spacing w:lineRule="atLeast" w:line="260"/>
        <w:ind w:left="596" w:hanging="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both"/>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8" w:name="_Toc71811147"/>
      <w:r>
        <w:rPr>
          <w:rFonts w:cs="Tahoma" w:ascii="Tahoma" w:hAnsi="Tahoma"/>
          <w:b/>
          <w:bCs/>
          <w:color w:val="000000"/>
          <w:kern w:val="2"/>
          <w:lang w:val="es-ES_tradnl"/>
        </w:rPr>
        <w:t>NUMERO DE VIVIENDAS A SER INTERVENIDAS</w:t>
      </w:r>
      <w:bookmarkEnd w:id="48"/>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CHUNGARA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LEUQUENI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JANCOJAKE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9" w:name="_Toc71811148"/>
      <w:r>
        <w:rPr>
          <w:rFonts w:cs="Tahoma" w:ascii="Tahoma" w:hAnsi="Tahoma"/>
          <w:b/>
          <w:bCs/>
          <w:color w:val="000000"/>
          <w:kern w:val="2"/>
          <w:lang w:val="es-ES_tradnl"/>
        </w:rPr>
        <w:t>ACCESO A LAS COMUNIDADES O BARRIO/ZONA/URBANIZACIÓN/JUNTA VECINAL BENEFICIADAS</w:t>
      </w:r>
      <w:bookmarkEnd w:id="49"/>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3"/>
        <w:gridCol w:w="1549"/>
        <w:gridCol w:w="2084"/>
        <w:gridCol w:w="1670"/>
        <w:gridCol w:w="1667"/>
        <w:gridCol w:w="1250"/>
      </w:tblGrid>
      <w:tr>
        <w:trPr>
          <w:trHeight w:val="266" w:hRule="atLeast"/>
        </w:trPr>
        <w:tc>
          <w:tcPr>
            <w:tcW w:w="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4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CHUNGARA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JANCO JAKE</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1"/>
        </w:numPr>
        <w:rPr>
          <w:rFonts w:ascii="Tahoma" w:hAnsi="Tahoma" w:cs="Tahoma"/>
          <w:bCs/>
          <w:i/>
          <w:i/>
          <w:iCs/>
        </w:rPr>
      </w:pPr>
      <w:bookmarkStart w:id="50" w:name="_Toc100250568"/>
      <w:bookmarkStart w:id="51" w:name="_Toc49531233"/>
      <w:bookmarkStart w:id="52"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0"/>
      <w:bookmarkEnd w:id="51"/>
      <w:bookmarkEnd w:id="52"/>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5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4" w:name="_Toc71811150"/>
      <w:r>
        <w:rPr>
          <w:rFonts w:cs="Tahoma" w:ascii="Tahoma" w:hAnsi="Tahoma"/>
          <w:b/>
          <w:bCs/>
          <w:color w:val="000000"/>
          <w:kern w:val="2"/>
          <w:lang w:val="es-ES_tradnl"/>
        </w:rPr>
        <w:t>ALCANCE DE LA CONSULTORÍA.</w:t>
      </w:r>
      <w:bookmarkEnd w:id="5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5"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5"/>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6" w:name="_Hlk180334535"/>
      <w:r>
        <w:rPr>
          <w:rFonts w:cs="Tahoma" w:ascii="Tahoma" w:hAnsi="Tahoma"/>
          <w:lang w:val="es-ES_tradnl"/>
        </w:rPr>
        <w:t>Capacitar y Comunicar a los beneficiarios para el inicio de los tramites de los certificados de no Propiedad previo a la ejecución física de la obra.</w:t>
      </w:r>
      <w:bookmarkEnd w:id="56"/>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7" w:name="_Hlk180157759"/>
      <w:bookmarkEnd w:id="57"/>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8" w:name="_Hlk180057022"/>
      <w:bookmarkEnd w:id="5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9"/>
      <w:r>
        <w:rPr>
          <w:rFonts w:cs="Tahoma" w:ascii="Tahoma" w:hAnsi="Tahoma"/>
          <w:lang w:val="es-ES_tradnl"/>
        </w:rPr>
        <w:t>, mediante visitas al sitio, aprobado por el Inspector</w:t>
      </w:r>
      <w:bookmarkStart w:id="60" w:name="_Hlk113371329"/>
      <w:r>
        <w:rPr>
          <w:rFonts w:cs="Tahoma" w:ascii="Tahoma" w:hAnsi="Tahoma"/>
          <w:lang w:val="es-ES_tradnl"/>
        </w:rPr>
        <w:t>, y validado por el Fiscal del Proyecto, previo acompañamiento.</w:t>
      </w:r>
      <w:bookmarkEnd w:id="60"/>
    </w:p>
    <w:p>
      <w:pPr>
        <w:pStyle w:val="ListParagraph"/>
        <w:widowControl w:val="false"/>
        <w:numPr>
          <w:ilvl w:val="0"/>
          <w:numId w:val="43"/>
        </w:numPr>
        <w:ind w:left="284" w:hanging="283"/>
        <w:jc w:val="both"/>
        <w:rPr>
          <w:rFonts w:ascii="Tahoma" w:hAnsi="Tahoma" w:cs="Tahoma"/>
          <w:lang w:val="es-ES_tradnl"/>
        </w:rPr>
      </w:pPr>
      <w:bookmarkStart w:id="61" w:name="_Hlk180157759"/>
      <w:bookmarkStart w:id="62" w:name="_Hlk180057022"/>
      <w:bookmarkStart w:id="63" w:name="_Hlk146287105"/>
      <w:bookmarkStart w:id="64" w:name="_Hlk146287826"/>
      <w:bookmarkEnd w:id="61"/>
      <w:bookmarkEnd w:id="6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7"/>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9" w:name="_Hlk158992379"/>
      <w:r>
        <w:rPr>
          <w:rFonts w:cs="Tahoma" w:ascii="Tahoma" w:hAnsi="Tahoma"/>
          <w:lang w:val="es-ES_tradnl"/>
        </w:rPr>
        <w:t>incumplimiento de aporte propio, a la tercera notificación de incumplimiento.</w:t>
      </w:r>
      <w:bookmarkEnd w:id="69"/>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1" w:name="_Hlk126076967"/>
      <w:r>
        <w:rPr>
          <w:rFonts w:cs="Tahoma" w:ascii="Tahoma" w:hAnsi="Tahoma"/>
          <w:color w:val="000000"/>
          <w:lang w:val="es-ES_tradnl"/>
        </w:rPr>
        <w:t xml:space="preserve">cantidades asignadas </w:t>
      </w:r>
      <w:bookmarkEnd w:id="71"/>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2" w:name="_Toc71811151"/>
      <w:r>
        <w:rPr>
          <w:rFonts w:cs="Tahoma" w:ascii="Tahoma" w:hAnsi="Tahoma"/>
          <w:b/>
          <w:bCs/>
          <w:color w:val="000000"/>
          <w:kern w:val="2"/>
          <w:lang w:val="es-ES_tradnl"/>
        </w:rPr>
        <w:t>FASES DE LA CONSULTORÍA.</w:t>
      </w:r>
      <w:bookmarkEnd w:id="7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59E1B85B">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9E1B85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7246FA7">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246FA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61EBA5DA">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1EBA5D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163E5B9B">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63E5B9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1599EE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1599E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3" w:name="_Hlk164185315"/>
      <w:r>
        <w:rPr>
          <w:rFonts w:cs="Tahoma" w:ascii="Tahoma" w:hAnsi="Tahoma"/>
        </w:rPr>
        <w:t>Gestión y presentación de los Certificados de no Propiedad a nivel nacional de los beneficiarios del proyecto.</w:t>
      </w:r>
      <w:bookmarkEnd w:id="73"/>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4" w:name="_Hlk180060078"/>
      <w:r>
        <w:rPr>
          <w:rFonts w:cs="Tahoma" w:ascii="Tahoma" w:hAnsi="Tahoma"/>
        </w:rPr>
        <w:t xml:space="preserve">Recepción </w:t>
      </w:r>
      <w:bookmarkEnd w:id="74"/>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2"/>
      <w:r>
        <w:rPr>
          <w:rFonts w:cs="Tahoma" w:ascii="Tahoma" w:hAnsi="Tahoma"/>
          <w:b/>
          <w:bCs/>
          <w:color w:val="000000"/>
          <w:kern w:val="2"/>
          <w:lang w:val="es-ES_tradnl"/>
        </w:rPr>
        <w:t>PLAZO DE EJECUCIÓN DE LA CONSULTORÍA</w:t>
      </w:r>
      <w:bookmarkEnd w:id="7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6" w:name="_Toc71811153"/>
      <w:r>
        <w:rPr>
          <w:rFonts w:cs="Tahoma" w:ascii="Tahoma" w:hAnsi="Tahoma"/>
          <w:b/>
          <w:bCs/>
          <w:color w:val="000000"/>
          <w:kern w:val="2"/>
          <w:lang w:val="es-ES_tradnl"/>
        </w:rPr>
        <w:t>CRONOGRAMA DE PLAZOS DE LA CONSULTORÍA</w:t>
      </w:r>
      <w:bookmarkEnd w:id="7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8" w:name="_Hlk180157972"/>
            <w:bookmarkEnd w:id="78"/>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3FC7BFF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FC7BFF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596575E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B3FD41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492477D9">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92477D9"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2A45634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7C17E798">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2893D16">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2893D1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FEB370E">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336031B5">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336031B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613FC46B">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A37B33A">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A37B33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9" w:name="_Hlk180157972"/>
            <w:bookmarkStart w:id="80" w:name="_Hlk180157972"/>
            <w:bookmarkEnd w:id="80"/>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1"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2" w:name="_Hlk170197918"/>
      <w:bookmarkStart w:id="83" w:name="_Hlk179908470"/>
      <w:bookmarkEnd w:id="83"/>
      <w:r>
        <w:rPr>
          <w:rFonts w:cs="Tahoma" w:ascii="Tahoma" w:hAnsi="Tahoma"/>
          <w:lang w:val="es-ES_tradnl"/>
        </w:rPr>
        <w:t xml:space="preserve">La </w:t>
      </w:r>
      <w:bookmarkStart w:id="84"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5" w:name="_Hlk179908470"/>
      <w:bookmarkStart w:id="86" w:name="_Hlk180160536"/>
      <w:bookmarkEnd w:id="85"/>
      <w:r>
        <w:rPr>
          <w:rFonts w:cs="Tahoma" w:ascii="Tahoma" w:hAnsi="Tahoma"/>
        </w:rPr>
        <w:t>(En caso que la presentación de los documentos de los Productos remitida al Fiscal de Proyecto se encuentre en fin de semana o feriado este deberá ser presentado el primer día hábil)</w:t>
      </w:r>
      <w:bookmarkEnd w:id="84"/>
      <w:bookmarkEnd w:id="8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4"/>
      <w:r>
        <w:rPr>
          <w:rFonts w:cs="Tahoma" w:ascii="Tahoma" w:hAnsi="Tahoma"/>
          <w:b/>
          <w:bCs/>
          <w:color w:val="000000"/>
          <w:kern w:val="2"/>
          <w:lang w:val="es-ES_tradnl"/>
        </w:rPr>
        <w:t>PRECIO REFERENCIAL</w:t>
      </w:r>
      <w:bookmarkEnd w:id="87"/>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3.059.530,95 (Tres Millones Cincuenta y Nueve Mil Quinientos Treinta 95/100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5"/>
      <w:r>
        <w:rPr>
          <w:rFonts w:cs="Tahoma" w:ascii="Tahoma" w:hAnsi="Tahoma"/>
          <w:b/>
          <w:bCs/>
          <w:color w:val="000000"/>
          <w:kern w:val="2"/>
          <w:lang w:val="es-ES_tradnl"/>
        </w:rPr>
        <w:t>FORMA DE PAGO.</w:t>
      </w:r>
      <w:bookmarkEnd w:id="88"/>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69"/>
        <w:gridCol w:w="1590"/>
        <w:gridCol w:w="263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9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3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9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3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3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47.516,98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1.292.180,57</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1.339697,55</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95.033,96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1.292.180,56</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1.387.214,52</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95.033,96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95.033,96</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237.584,92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237.584,92</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475.169,82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2.584.361,13</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3.059.530,95</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6"/>
      <w:r>
        <w:rPr>
          <w:rFonts w:cs="Tahoma" w:ascii="Tahoma" w:hAnsi="Tahoma"/>
          <w:b/>
          <w:bCs/>
          <w:color w:val="000000"/>
          <w:kern w:val="2"/>
          <w:lang w:val="es-ES_tradnl"/>
        </w:rPr>
        <w:t>SEGUROS</w:t>
      </w:r>
      <w:bookmarkEnd w:id="89"/>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0" w:name="_Hlk144978880"/>
      <w:r>
        <w:rPr>
          <w:rFonts w:cs="Tahoma" w:ascii="Tahoma" w:hAnsi="Tahoma"/>
          <w:lang w:eastAsia="es-BO"/>
        </w:rPr>
        <w:t xml:space="preserve">hábiles </w:t>
      </w:r>
      <w:bookmarkEnd w:id="90"/>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7"/>
      <w:r>
        <w:rPr>
          <w:rFonts w:cs="Tahoma" w:ascii="Tahoma" w:hAnsi="Tahoma"/>
          <w:b/>
          <w:bCs/>
          <w:color w:val="000000"/>
          <w:kern w:val="2"/>
          <w:lang w:val="es-ES_tradnl"/>
        </w:rPr>
        <w:t>PAGO DE IMPUESTOS</w:t>
      </w:r>
      <w:bookmarkEnd w:id="91"/>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Toc71811158"/>
      <w:r>
        <w:rPr>
          <w:rFonts w:cs="Tahoma" w:ascii="Tahoma" w:hAnsi="Tahoma"/>
          <w:b/>
          <w:bCs/>
          <w:color w:val="000000"/>
          <w:kern w:val="2"/>
          <w:lang w:val="es-ES_tradnl"/>
        </w:rPr>
        <w:t>APORTES AL SISTEMA INTEGRADO DE PENSIONES</w:t>
      </w:r>
      <w:bookmarkEnd w:id="92"/>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3" w:name="_Hlk132898907"/>
      <w:bookmarkEnd w:id="93"/>
      <w:r>
        <w:rPr>
          <w:rFonts w:cs="Tahoma" w:ascii="Tahoma" w:hAnsi="Tahoma"/>
          <w:b/>
          <w:bCs/>
          <w:color w:val="000000"/>
          <w:kern w:val="2"/>
          <w:lang w:val="es-ES_tradnl"/>
        </w:rPr>
        <w:t>GARANTÍAS</w:t>
      </w:r>
    </w:p>
    <w:p>
      <w:pPr>
        <w:pStyle w:val="Normal"/>
        <w:jc w:val="both"/>
        <w:rPr>
          <w:rFonts w:ascii="Tahoma" w:hAnsi="Tahoma" w:cs="Tahoma"/>
          <w:lang w:val="es-ES_tradnl"/>
        </w:rPr>
      </w:pPr>
      <w:bookmarkStart w:id="94" w:name="_Hlk132898907"/>
      <w:bookmarkStart w:id="95" w:name="_Toc81314437"/>
      <w:bookmarkStart w:id="96" w:name="_Toc81229595"/>
      <w:bookmarkStart w:id="97" w:name="_Hlk180160903"/>
      <w:bookmarkEnd w:id="94"/>
      <w:bookmarkEnd w:id="9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8" w:name="_Hlk127960441"/>
      <w:r>
        <w:rPr>
          <w:rFonts w:cs="Tahoma" w:ascii="Tahoma" w:hAnsi="Tahoma"/>
          <w:lang w:eastAsia="es-BO"/>
        </w:rPr>
        <w:t xml:space="preserve">se establece las </w:t>
      </w:r>
      <w:bookmarkEnd w:id="95"/>
      <w:bookmarkEnd w:id="96"/>
      <w:bookmarkEnd w:id="98"/>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9" w:name="_Hlk180160903"/>
      <w:bookmarkStart w:id="100" w:name="_Toc100250575"/>
      <w:bookmarkStart w:id="101" w:name="_Toc81314438"/>
      <w:bookmarkEnd w:id="99"/>
      <w:r>
        <w:rPr>
          <w:rFonts w:cs="Tahoma" w:ascii="Tahoma" w:hAnsi="Tahoma"/>
          <w:b/>
          <w:lang w:val="es-ES_tradnl"/>
        </w:rPr>
        <w:t>GARANTÍA DE SERIEDAD DE PROPUESTA:</w:t>
      </w:r>
      <w:bookmarkEnd w:id="100"/>
      <w:bookmarkEnd w:id="101"/>
    </w:p>
    <w:p>
      <w:pPr>
        <w:pStyle w:val="Normal"/>
        <w:spacing w:lineRule="atLeast" w:line="260"/>
        <w:jc w:val="both"/>
        <w:rPr>
          <w:rFonts w:ascii="Tahoma" w:hAnsi="Tahoma" w:cs="Tahoma"/>
          <w:lang w:eastAsia="es-BO"/>
        </w:rPr>
      </w:pPr>
      <w:bookmarkStart w:id="102" w:name="_Toc81314439"/>
      <w:bookmarkStart w:id="103" w:name="_Toc81229597"/>
      <w:bookmarkEnd w:id="102"/>
      <w:bookmarkEnd w:id="10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4" w:name="_Hlk144978940"/>
      <w:r>
        <w:rPr>
          <w:rFonts w:cs="Tahoma" w:ascii="Tahoma" w:hAnsi="Tahoma"/>
          <w:color w:val="3333FF"/>
          <w:lang w:eastAsia="es-BO"/>
        </w:rPr>
        <w:t xml:space="preserve">cero punto veinticinco por ciento (0.25%) </w:t>
      </w:r>
      <w:bookmarkEnd w:id="10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5" w:name="_Toc81314439"/>
      <w:bookmarkStart w:id="106" w:name="_Toc81229597"/>
      <w:bookmarkStart w:id="107" w:name="_Toc81314440"/>
      <w:bookmarkStart w:id="108" w:name="_Toc81229598"/>
      <w:bookmarkEnd w:id="105"/>
      <w:bookmarkEnd w:id="106"/>
      <w:r>
        <w:rPr>
          <w:rFonts w:cs="Tahoma" w:ascii="Tahoma" w:hAnsi="Tahoma"/>
          <w:lang w:eastAsia="es-BO"/>
        </w:rPr>
        <w:t xml:space="preserve">La vigencia de esta garantía deberá tener noventa (90) días calendario a partir de la apertura de la propuesta establecida en el DCD. </w:t>
      </w:r>
      <w:bookmarkEnd w:id="107"/>
      <w:bookmarkEnd w:id="108"/>
    </w:p>
    <w:p>
      <w:pPr>
        <w:pStyle w:val="Normal"/>
        <w:spacing w:lineRule="atLeast" w:line="260"/>
        <w:jc w:val="both"/>
        <w:rPr>
          <w:rFonts w:ascii="Tahoma" w:hAnsi="Tahoma" w:cs="Tahoma"/>
          <w:lang w:eastAsia="es-BO"/>
        </w:rPr>
      </w:pPr>
      <w:bookmarkStart w:id="109" w:name="_Toc81314441"/>
      <w:bookmarkStart w:id="110" w:name="_Toc81229599"/>
      <w:r>
        <w:rPr>
          <w:rFonts w:cs="Tahoma" w:ascii="Tahoma" w:hAnsi="Tahoma"/>
          <w:lang w:eastAsia="es-BO"/>
        </w:rPr>
        <w:t>La Garantía de Seriedad de Propuesta será devuelta conforme a lo establecido en el DCD.</w:t>
      </w:r>
      <w:bookmarkEnd w:id="109"/>
      <w:bookmarkEnd w:id="11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1" w:name="_Toc71811161"/>
      <w:r>
        <w:rPr>
          <w:rFonts w:cs="Tahoma" w:ascii="Tahoma" w:hAnsi="Tahoma"/>
          <w:b/>
          <w:bCs/>
          <w:color w:val="000000"/>
          <w:kern w:val="2"/>
          <w:lang w:val="es-ES_tradnl"/>
        </w:rPr>
        <w:t>GARANTÍA DE CUMPLIMIENTO DE CONTRATO</w:t>
      </w:r>
      <w:bookmarkEnd w:id="111"/>
    </w:p>
    <w:p>
      <w:pPr>
        <w:pStyle w:val="Normal"/>
        <w:spacing w:lineRule="atLeast" w:line="260"/>
        <w:jc w:val="both"/>
        <w:rPr>
          <w:rFonts w:ascii="Tahoma" w:hAnsi="Tahoma" w:eastAsia="Calibri" w:cs="Tahoma"/>
          <w:color w:val="000000"/>
        </w:rPr>
      </w:pPr>
      <w:bookmarkStart w:id="112"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3"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4" w:name="_Hlk144978977"/>
      <w:r>
        <w:rPr>
          <w:rFonts w:eastAsia="Calibri" w:cs="Tahoma" w:ascii="Tahoma" w:hAnsi="Tahoma"/>
          <w:lang w:eastAsia="es-BO"/>
        </w:rPr>
        <w:t>La garantía, será devuelta a la Entidad Ejecutora, una vez que se cuente con el pago final del servicio de consultoría</w:t>
      </w:r>
      <w:bookmarkEnd w:id="114"/>
      <w:r>
        <w:rPr>
          <w:rFonts w:eastAsia="Calibri" w:cs="Tahoma" w:ascii="Tahoma" w:hAnsi="Tahoma"/>
          <w:lang w:eastAsia="es-BO"/>
        </w:rPr>
        <w:t>.</w:t>
      </w:r>
      <w:bookmarkEnd w:id="112"/>
      <w:bookmarkEnd w:id="113"/>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5" w:name="_Toc71811159"/>
      <w:r>
        <w:rPr>
          <w:rFonts w:cs="Tahoma" w:ascii="Tahoma" w:hAnsi="Tahoma"/>
          <w:b/>
          <w:bCs/>
          <w:color w:val="000000"/>
          <w:kern w:val="2"/>
          <w:lang w:val="es-ES_tradnl"/>
        </w:rPr>
        <w:t>GARANTÍA DE CORRECTA INVERSIÓN DE ANTICIPO PARA EL COMPONENTE DE PROVISIÓN/DOTACIÓN DE MATERIALES DE CONSTRUCCIÓN</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0"/>
      <w:r>
        <w:rPr>
          <w:rFonts w:cs="Tahoma" w:ascii="Tahoma" w:hAnsi="Tahoma"/>
          <w:b/>
          <w:bCs/>
          <w:color w:val="000000"/>
          <w:kern w:val="2"/>
          <w:lang w:val="es-ES_tradnl"/>
        </w:rPr>
        <w:t>LIBERACIÓN DE GARANTÍA DE ANTICIPO</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8" w:name="_Toc71811162"/>
      <w:r>
        <w:rPr>
          <w:rFonts w:cs="Tahoma" w:ascii="Tahoma" w:hAnsi="Tahoma"/>
          <w:b/>
          <w:bCs/>
          <w:color w:val="000000"/>
          <w:kern w:val="2"/>
          <w:lang w:val="es-ES_tradnl"/>
        </w:rPr>
        <w:t>MULTAS</w:t>
      </w:r>
      <w:bookmarkEnd w:id="118"/>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0"/>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2" w:name="_Hlk118650022"/>
      <w:bookmarkStart w:id="123"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4"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4"/>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5" w:name="_Hlk118650022"/>
      <w:r>
        <w:rPr>
          <w:rFonts w:cs="Tahoma" w:ascii="Tahoma" w:hAnsi="Tahoma"/>
          <w:lang w:val="es-ES_tradnl"/>
        </w:rPr>
        <w:t>Cuando la ENTIDAD EJECUTORA, no cumpla con la Recepción Definitiva en los plazos contractuales establecidos.</w:t>
      </w:r>
      <w:bookmarkEnd w:id="12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7" w:name="_Hlk144979166"/>
      <w:bookmarkStart w:id="128"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9" w:name="_Hlk144979166"/>
      <w:r>
        <w:rPr>
          <w:rFonts w:eastAsia="Calibri" w:cs="Tahoma" w:ascii="Tahoma" w:hAnsi="Tahoma"/>
          <w:b/>
          <w:iCs/>
        </w:rPr>
        <w:t>Resolución de Contrato:</w:t>
      </w:r>
      <w:bookmarkEnd w:id="12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30" w:name="_Toc71811163"/>
      <w:r>
        <w:rPr>
          <w:rFonts w:cs="Tahoma" w:ascii="Tahoma" w:hAnsi="Tahoma"/>
          <w:b/>
          <w:bCs/>
          <w:color w:val="000000"/>
          <w:kern w:val="2"/>
          <w:lang w:val="es-ES_tradnl"/>
        </w:rPr>
        <w:t>MODIFICACIONES AL CONTRATO</w:t>
      </w:r>
      <w:bookmarkEnd w:id="130"/>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1"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1"/>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3" w:name="_Hlk144979257"/>
      <w:bookmarkStart w:id="134" w:name="_Hlk179909082"/>
      <w:r>
        <w:rPr>
          <w:rFonts w:cs="Tahoma" w:ascii="Tahoma" w:hAnsi="Tahoma"/>
          <w:color w:val="000000"/>
          <w:lang w:val="es-ES_tradnl"/>
        </w:rPr>
        <w:t xml:space="preserve">Se </w:t>
      </w:r>
      <w:bookmarkStart w:id="135"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6" w:name="_Hlk179960020"/>
      <w:r>
        <w:rPr>
          <w:rFonts w:cs="Tahoma" w:ascii="Tahoma" w:hAnsi="Tahoma"/>
          <w:color w:val="000000"/>
          <w:lang w:val="es-ES_tradnl"/>
        </w:rPr>
        <w:t>en el caso de decremento el porcentaje deberá concertarse con la entidad ejecutora para evitar reclamos posteriores.</w:t>
      </w:r>
      <w:bookmarkEnd w:id="134"/>
      <w:bookmarkEnd w:id="135"/>
      <w:bookmarkEnd w:id="136"/>
    </w:p>
    <w:p>
      <w:pPr>
        <w:pStyle w:val="Normal"/>
        <w:spacing w:lineRule="atLeast" w:line="260"/>
        <w:jc w:val="both"/>
        <w:rPr>
          <w:rFonts w:ascii="Tahoma" w:hAnsi="Tahoma" w:cs="Tahoma"/>
          <w:lang w:val="es-ES_tradnl"/>
        </w:rPr>
      </w:pPr>
      <w:bookmarkStart w:id="137" w:name="_Hlk144979257"/>
      <w:r>
        <w:rPr>
          <w:rFonts w:cs="Tahoma" w:ascii="Tahoma" w:hAnsi="Tahoma"/>
          <w:lang w:val="es-ES_tradnl"/>
        </w:rPr>
        <w:t>El contrato modificatorio podrá presentarse hasta 10 días calendario antes de la Recepción Provisional del proyecto.</w:t>
      </w:r>
      <w:bookmarkEnd w:id="13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8" w:name="_Hlk144979275"/>
      <w:r>
        <w:rPr>
          <w:rFonts w:cs="Tahoma" w:ascii="Tahoma" w:hAnsi="Tahoma"/>
          <w:color w:val="000000"/>
        </w:rPr>
        <w:t xml:space="preserve">directa </w:t>
      </w:r>
      <w:bookmarkEnd w:id="13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9" w:name="_Toc71811164"/>
      <w:r>
        <w:rPr>
          <w:rFonts w:cs="Tahoma" w:ascii="Tahoma" w:hAnsi="Tahoma"/>
          <w:b/>
          <w:bCs/>
          <w:color w:val="000000"/>
          <w:kern w:val="2"/>
          <w:lang w:val="es-ES_tradnl"/>
        </w:rPr>
        <w:t>INFORMES / PRODUCTOS ESPERADOS:</w:t>
      </w:r>
      <w:bookmarkEnd w:id="13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40"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1"/>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3"/>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4" w:name="_Hlk128047540"/>
      <w:bookmarkStart w:id="145"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837"/>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4"/>
      <w:bookmarkEnd w:id="14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8" w:name="_Hlk180582744"/>
      <w:bookmarkEnd w:id="148"/>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9" w:name="_Hlk180582744"/>
      <w:bookmarkStart w:id="150" w:name="_Hlk179909116"/>
      <w:bookmarkEnd w:id="149"/>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0"/>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1" w:name="_Hlk146908551"/>
      <w:r>
        <w:rPr>
          <w:rFonts w:cs="Tahoma" w:ascii="Tahoma" w:hAnsi="Tahoma"/>
        </w:rPr>
        <w:t>Se debe mencionar que, una vez entregado el penúltimo producto se dará inicio al periodo contractual del plazo para el ultimo producto.</w:t>
      </w:r>
      <w:bookmarkEnd w:id="15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2"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4" w:name="_Hlk158887989"/>
      <w:bookmarkEnd w:id="153"/>
      <w:r>
        <w:rPr>
          <w:rFonts w:cs="Tahoma" w:ascii="Tahoma" w:hAnsi="Tahoma"/>
          <w:color w:val="000000"/>
          <w:szCs w:val="16"/>
          <w:lang w:val="es-ES_tradnl"/>
        </w:rPr>
        <w:t>posteriores a la recepción de la solicitud</w:t>
      </w:r>
      <w:bookmarkEnd w:id="15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5" w:name="_Hlk117853558"/>
      <w:bookmarkEnd w:id="155"/>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6" w:name="_Hlk117853558"/>
      <w:bookmarkStart w:id="157" w:name="_Hlk117853529"/>
      <w:bookmarkEnd w:id="156"/>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7"/>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8" w:name="_Toc71811165"/>
      <w:bookmarkStart w:id="159" w:name="_Toc536520830"/>
      <w:r>
        <w:rPr>
          <w:rFonts w:cs="Tahoma" w:ascii="Tahoma" w:hAnsi="Tahoma"/>
          <w:b/>
          <w:bCs/>
          <w:color w:val="000000"/>
          <w:kern w:val="2"/>
          <w:lang w:val="es-ES_tradnl"/>
        </w:rPr>
        <w:t>PERFIL DEL PROPONENTE</w:t>
      </w:r>
      <w:bookmarkEnd w:id="158"/>
      <w:bookmarkEnd w:id="15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0" w:name="_Toc71811166"/>
      <w:bookmarkStart w:id="161" w:name="_Toc536520831"/>
      <w:bookmarkStart w:id="162" w:name="_Hlk179960635"/>
      <w:bookmarkStart w:id="163" w:name="_Hlk179909267"/>
      <w:bookmarkEnd w:id="16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4" w:name="_Hlk179909267"/>
      <w:bookmarkStart w:id="165" w:name="_Hlk179909267"/>
      <w:bookmarkEnd w:id="165"/>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6" w:name="_Toc71811166"/>
      <w:bookmarkStart w:id="167" w:name="_Toc536520831"/>
      <w:r>
        <w:rPr>
          <w:rFonts w:cs="Tahoma" w:ascii="Tahoma" w:hAnsi="Tahoma"/>
          <w:b/>
          <w:bCs/>
          <w:color w:val="000000"/>
          <w:kern w:val="2"/>
          <w:lang w:val="es-ES_tradnl"/>
        </w:rPr>
        <w:t>PERSONAL REQUERIDO</w:t>
      </w:r>
      <w:bookmarkEnd w:id="166"/>
      <w:bookmarkEnd w:id="16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8" w:name="_Hlk144979420"/>
      <w:bookmarkStart w:id="169"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3"/>
        <w:gridCol w:w="1312"/>
        <w:gridCol w:w="596"/>
        <w:gridCol w:w="1916"/>
        <w:gridCol w:w="958"/>
        <w:gridCol w:w="1002"/>
        <w:gridCol w:w="1415"/>
      </w:tblGrid>
      <w:tr>
        <w:trPr>
          <w:trHeight w:val="267" w:hRule="atLeast"/>
        </w:trPr>
        <w:tc>
          <w:tcPr>
            <w:tcW w:w="20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0" w:name="_Hlk179481936"/>
      <w:r>
        <w:rPr>
          <w:rFonts w:cs="Tahoma" w:ascii="Tahoma" w:hAnsi="Tahoma"/>
          <w:i/>
          <w:iCs/>
          <w:sz w:val="18"/>
          <w:szCs w:val="18"/>
        </w:rPr>
        <w:t xml:space="preserve">La experiencia del personal será computada considerando el conjunto de contratos en los cuales el profesional ha </w:t>
      </w:r>
      <w:bookmarkStart w:id="171"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2"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2"/>
      <w:bookmarkEnd w:id="17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3" w:name="_Hlk180329296"/>
      <w:r>
        <w:rPr>
          <w:rFonts w:cs="Tahoma" w:ascii="Tahoma" w:hAnsi="Tahoma"/>
          <w:b/>
        </w:rPr>
        <w:t>ESPECIALISTAS (NO SE CONSIDERA COMO PERSONAL CLAVE)</w:t>
      </w:r>
      <w:bookmarkEnd w:id="169"/>
      <w:bookmarkEnd w:id="17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SACACA</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278,16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162,54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1.192,00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514,00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184,80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4.511,56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1.958,80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416,14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996,77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841,64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112.350,00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701,28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3.790,22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4.017,20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8.629,34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522,10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380,28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2.364,54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2.629,44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815,36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2.868,48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988,80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346,08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b/>
                <w:bCs/>
                <w:color w:val="C00000"/>
                <w:sz w:val="18"/>
                <w:szCs w:val="18"/>
                <w:lang w:eastAsia="es-ES"/>
              </w:rPr>
              <w:t>475.169,82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8"/>
        <w:gridCol w:w="1193"/>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VILLA DE SACACA  -FASE(XVII)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9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2900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5" w:name="_Toc71811174"/>
      <w:bookmarkStart w:id="196"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bookmarkEnd w:id="196"/>
    </w:p>
    <w:p>
      <w:pPr>
        <w:pStyle w:val="Normal"/>
        <w:rPr>
          <w:lang w:val="es-ES_tradnl"/>
        </w:rPr>
      </w:pPr>
      <w:r>
        <w:rPr>
          <w:lang w:val="es-ES_tradnl"/>
        </w:rPr>
      </w:r>
    </w:p>
    <w:p>
      <w:pPr>
        <w:pStyle w:val="Normal"/>
        <w:jc w:val="both"/>
        <w:rPr>
          <w:rFonts w:ascii="Tahoma" w:hAnsi="Tahoma" w:cs="Tahoma"/>
        </w:rPr>
      </w:pPr>
      <w:bookmarkStart w:id="197" w:name="_Hlk180583306"/>
      <w:bookmarkEnd w:id="197"/>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8" w:name="_Hlk180583306"/>
      <w:bookmarkStart w:id="199" w:name="_Hlk180567960"/>
      <w:bookmarkEnd w:id="198"/>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0"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9"/>
      <w:bookmarkEnd w:id="200"/>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1"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2"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2"/>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3"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3"/>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4" w:name="_Hlk161513692"/>
      <w:r>
        <w:rPr>
          <w:rFonts w:cs="Tahoma" w:ascii="Tahoma" w:hAnsi="Tahoma"/>
          <w:b/>
          <w:sz w:val="18"/>
          <w:szCs w:val="18"/>
          <w:lang w:eastAsia="es-ES"/>
        </w:rPr>
        <w:t>Preparación de la Superficie</w:t>
      </w:r>
      <w:bookmarkEnd w:id="214"/>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686236"/>
      <w:bookmarkEnd w:id="219"/>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0" w:name="_Hlk95686236"/>
      <w:bookmarkStart w:id="221" w:name="_Hlk95686228"/>
      <w:bookmarkStart w:id="222" w:name="_Hlk95686236"/>
      <w:bookmarkStart w:id="223" w:name="_Hlk95686228"/>
      <w:bookmarkEnd w:id="222"/>
    </w:p>
    <w:p>
      <w:pPr>
        <w:pStyle w:val="Normal"/>
        <w:spacing w:before="0" w:after="120"/>
        <w:jc w:val="both"/>
        <w:rPr>
          <w:rFonts w:ascii="Tahoma" w:hAnsi="Tahoma" w:cs="Tahoma"/>
          <w:b/>
          <w:b/>
          <w:bCs/>
          <w:sz w:val="18"/>
          <w:szCs w:val="18"/>
          <w:lang w:eastAsia="es-ES"/>
        </w:rPr>
      </w:pPr>
      <w:bookmarkStart w:id="224" w:name="_Hlk95686228"/>
      <w:r>
        <w:rPr>
          <w:rFonts w:cs="Tahoma" w:ascii="Tahoma" w:hAnsi="Tahoma"/>
          <w:b/>
          <w:bCs/>
          <w:sz w:val="18"/>
          <w:szCs w:val="18"/>
          <w:lang w:eastAsia="es-ES"/>
        </w:rPr>
        <w:t>Aplicación del Revestimiento</w:t>
      </w:r>
      <w:bookmarkEnd w:id="224"/>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9" w:name="_Hlk166508075"/>
      <w:r>
        <w:rPr>
          <w:rFonts w:cs="Tahoma" w:ascii="Tahoma" w:hAnsi="Tahoma"/>
          <w:sz w:val="18"/>
          <w:szCs w:val="18"/>
          <w:lang w:eastAsia="es-ES"/>
        </w:rPr>
        <w:t>proyecto</w:t>
      </w:r>
      <w:bookmarkEnd w:id="229"/>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REVESTIMIENTO DE CERÁMICA C/CEMENTO COLA</w:t>
            </w:r>
            <w:bookmarkEnd w:id="231"/>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4" w:name="_Hlk166524367"/>
            <w:r>
              <w:rPr>
                <w:rFonts w:eastAsia="Times New Roman" w:cs="Tahoma" w:ascii="Tahoma" w:hAnsi="Tahoma"/>
                <w:b/>
                <w:bCs/>
                <w:kern w:val="0"/>
                <w:sz w:val="18"/>
                <w:szCs w:val="18"/>
                <w:lang w:val="es-ES" w:eastAsia="es-ES" w:bidi="ar-SA"/>
              </w:rPr>
              <w:t>ZÓCALO DE CERÁMICA C/CEMENTO COLA</w:t>
            </w:r>
            <w:bookmarkEnd w:id="234"/>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5"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5"/>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6"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6"/>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7"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9" w:name="_Hlk164157765"/>
            <w:r>
              <w:rPr>
                <w:rFonts w:eastAsia="Arial" w:cs="Tahoma" w:ascii="Tahoma" w:hAnsi="Tahoma"/>
                <w:b/>
                <w:kern w:val="0"/>
                <w:sz w:val="18"/>
                <w:szCs w:val="18"/>
                <w:lang w:val="es-ES" w:bidi="ar-SA"/>
              </w:rPr>
              <w:t>PROVISIÓN Y COLOCADO DE PUERTA MIXTA METAL Y MADERA (1,00X2,10) (INC/MARCO Y QUINCALLERÍA)</w:t>
            </w:r>
            <w:bookmarkEnd w:id="239"/>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0" w:name="_Hlk99441616"/>
      <w:bookmarkStart w:id="241"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0"/>
      <w:bookmarkEnd w:id="241"/>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2"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3" w:name="_Hlk164095357"/>
      <w:r>
        <w:rPr>
          <w:rFonts w:cs="Tahoma" w:ascii="Tahoma" w:hAnsi="Tahoma"/>
          <w:sz w:val="18"/>
          <w:szCs w:val="18"/>
          <w:lang w:eastAsia="es-ES"/>
        </w:rPr>
        <w:t xml:space="preserve">cajonería </w:t>
      </w:r>
      <w:bookmarkEnd w:id="243"/>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4" w:name="_Hlk146219645"/>
      <w:r>
        <w:rPr>
          <w:rFonts w:cs="Arial" w:ascii="Verdana" w:hAnsi="Verdana"/>
          <w:sz w:val="18"/>
          <w:szCs w:val="18"/>
          <w:lang w:val="es-BO"/>
        </w:rPr>
        <w:t>vigente hasta la suscripción del contrato.</w:t>
      </w:r>
      <w:bookmarkEnd w:id="244"/>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475.169,82</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000000" w:themeColor="text1"/>
                <w:lang w:val="es-ES_tradnl" w:eastAsia="es-BO"/>
              </w:rPr>
              <w:t>475.169,82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475.169,82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color w:val="000000" w:themeColor="text1"/>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i/>
                <w:i/>
                <w:sz w:val="16"/>
                <w:szCs w:val="16"/>
                <w:lang w:val="es-BO"/>
              </w:rPr>
            </w:pPr>
            <w:r>
              <w:rPr>
                <w:rFonts w:eastAsia="Calibri" w:cs="Tahoma" w:ascii="Tahoma" w:hAnsi="Tahoma" w:eastAsiaTheme="minorHAnsi"/>
                <w:b/>
                <w:sz w:val="16"/>
                <w:szCs w:val="16"/>
                <w:lang w:val="es-BO"/>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sz w:val="16"/>
                <w:szCs w:val="16"/>
                <w:lang w:val="es-BO" w:eastAsia="es-BO"/>
              </w:rPr>
            </w:pPr>
            <w:r>
              <w:rPr>
                <w:rFonts w:eastAsia="Calibri" w:cs="Tahoma" w:ascii="Tahoma" w:hAnsi="Tahoma" w:eastAsiaTheme="minorHAnsi"/>
                <w:b/>
                <w:sz w:val="16"/>
                <w:szCs w:val="16"/>
                <w:lang w:val="es-BO" w:eastAsia="es-BO"/>
              </w:rPr>
              <w:t>EXPERIENCIA ESPECÍFICA DE LA ENTIDAD EJECUTORA.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 xml:space="preserve">Cuando el proponente demuestre un monto superior al monto mínimo requerido en la experiencia específica, se asignará 2 Puntos por cada 0.5 veces adicionales, hasta un máximo de 10 puntos. </w:t>
            </w:r>
            <w:r>
              <w:rPr>
                <w:rFonts w:eastAsia="Calibri" w:cs="Tahoma" w:ascii="Tahoma" w:hAnsi="Tahoma" w:eastAsiaTheme="minorHAnsi"/>
                <w:b/>
                <w:bCs/>
                <w:sz w:val="16"/>
                <w:szCs w:val="16"/>
                <w:lang w:val="es-BO"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TÉCNICO OPERATIVO DE ÁREA (TOA)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EDUCADOR SOCIAL</w:t>
            </w:r>
          </w:p>
          <w:p>
            <w:pPr>
              <w:pStyle w:val="Normal"/>
              <w:widowControl w:val="false"/>
              <w:spacing w:lineRule="auto" w:line="259"/>
              <w:jc w:val="both"/>
              <w:rPr>
                <w:rFonts w:ascii="Tahoma" w:hAnsi="Tahoma" w:eastAsia="Calibri" w:cs="Tahoma" w:eastAsiaTheme="minorHAnsi"/>
                <w:sz w:val="22"/>
                <w:szCs w:val="22"/>
                <w:lang w:val="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6"/>
                <w:szCs w:val="16"/>
                <w:lang w:val="es-BO"/>
              </w:rPr>
            </w:pPr>
            <w:r>
              <w:rPr>
                <w:rFonts w:eastAsia="Calibri" w:cs="Tahoma" w:ascii="Tahoma" w:hAnsi="Tahoma" w:eastAsiaTheme="minorHAnsi"/>
                <w:b/>
                <w:bCs/>
                <w:sz w:val="16"/>
                <w:szCs w:val="16"/>
                <w:lang w:val="es-BO" w:eastAsia="es-BO"/>
              </w:rPr>
              <w:t>EXPERIENCIA ESPECÍFICA:</w:t>
            </w:r>
            <w:r>
              <w:rPr>
                <w:rFonts w:eastAsia="Calibri" w:cs="Tahoma" w:ascii="Tahoma" w:hAnsi="Tahoma" w:eastAsiaTheme="minorHAnsi"/>
                <w:sz w:val="16"/>
                <w:szCs w:val="16"/>
                <w:lang w:val="es-BO"/>
              </w:rPr>
              <w:t xml:space="preserve"> </w:t>
            </w:r>
            <w:r>
              <w:rPr>
                <w:rFonts w:eastAsia="Calibri" w:cs="Tahoma" w:ascii="Tahoma" w:hAnsi="Tahoma" w:eastAsiaTheme="minorHAnsi"/>
                <w:b/>
                <w:sz w:val="16"/>
                <w:szCs w:val="16"/>
                <w:lang w:val="es-BO"/>
              </w:rPr>
              <w:t>TÉCNICO ALMACENERO</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PARTICIPACIÓN DE PERSONAL FEMENINO</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femenino,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bCs/>
                <w:i/>
                <w:i/>
                <w:iCs/>
                <w:color w:val="00B05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CONSTRUCTOR ESPECIALISTA ADICIONAL</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rPr>
              <w:t xml:space="preserve">Se asignará 1 punto, por cada </w:t>
            </w:r>
            <w:r>
              <w:rPr>
                <w:rFonts w:eastAsia="Calibri" w:cs="Tahoma" w:ascii="Tahoma" w:hAnsi="Tahoma" w:eastAsiaTheme="minorHAnsi"/>
                <w:color w:val="FF0000"/>
                <w:sz w:val="16"/>
                <w:szCs w:val="16"/>
                <w:lang w:val="es-BO"/>
              </w:rPr>
              <w:t>Constructor Especialista p/instalación sanitaria y agua potable y/o Constructor Especialista p/instalación eléctrica y/o Constructor Especialista p/ instalación en materiales prefabricados</w:t>
            </w:r>
            <w:r>
              <w:rPr>
                <w:rFonts w:eastAsia="Calibri" w:cs="Tahoma" w:ascii="Tahoma" w:hAnsi="Tahoma" w:eastAsiaTheme="minorHAnsi"/>
                <w:sz w:val="16"/>
                <w:szCs w:val="16"/>
                <w:lang w:val="es-BO"/>
              </w:rPr>
              <w:t xml:space="preserve"> </w:t>
            </w:r>
            <w:r>
              <w:rPr>
                <w:rFonts w:eastAsia="Calibri" w:cs="Tahoma" w:ascii="Tahoma" w:hAnsi="Tahoma" w:eastAsiaTheme="minorHAnsi"/>
                <w:b/>
                <w:bCs/>
                <w:sz w:val="16"/>
                <w:szCs w:val="16"/>
                <w:lang w:val="es-BO"/>
              </w:rPr>
              <w:t>adicional</w:t>
            </w:r>
            <w:r>
              <w:rPr>
                <w:rFonts w:eastAsia="Calibri" w:cs="Tahoma" w:ascii="Tahoma" w:hAnsi="Tahoma" w:eastAsiaTheme="minorHAnsi"/>
                <w:sz w:val="16"/>
                <w:szCs w:val="16"/>
                <w:lang w:val="es-BO"/>
              </w:rPr>
              <w:t xml:space="preserve">, </w:t>
            </w:r>
            <w:r>
              <w:rPr>
                <w:rFonts w:eastAsia="Calibri" w:cs="Tahoma" w:ascii="Tahoma" w:hAnsi="Tahoma" w:eastAsiaTheme="minorHAnsi"/>
                <w:sz w:val="16"/>
                <w:szCs w:val="16"/>
                <w:lang w:val="es-BO" w:eastAsia="es-BO"/>
              </w:rPr>
              <w:t>hasta un máximo de</w:t>
            </w:r>
            <w:r>
              <w:rPr>
                <w:rFonts w:eastAsia="Calibri" w:cs="Tahoma" w:ascii="Tahoma" w:hAnsi="Tahoma" w:eastAsiaTheme="minorHAnsi"/>
                <w:b/>
                <w:bCs/>
                <w:sz w:val="16"/>
                <w:szCs w:val="16"/>
                <w:lang w:val="es-BO" w:eastAsia="es-BO"/>
              </w:rPr>
              <w:t xml:space="preserve"> 3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color w:val="FF000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CONSTRUCTOR DE APOYO SOCIAL ADICIONAL</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(apoyo social) adicional,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before="0" w:after="160"/>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color w:val="000000"/>
                <w:sz w:val="18"/>
                <w:szCs w:val="18"/>
                <w:lang w:val="es-BO"/>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spacing w:lineRule="auto" w:line="259"/>
              <w:jc w:val="center"/>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La calificación se realizará al </w:t>
            </w:r>
            <w:r>
              <w:rPr>
                <w:rFonts w:eastAsia="Calibri" w:cs="Tahoma" w:ascii="Tahoma" w:hAnsi="Tahoma" w:eastAsiaTheme="minorHAnsi"/>
                <w:b/>
                <w:bCs/>
                <w:sz w:val="18"/>
                <w:szCs w:val="18"/>
                <w:lang w:val="es-BO"/>
              </w:rPr>
              <w:t>Equipo Permanente</w:t>
            </w:r>
            <w:r>
              <w:rPr>
                <w:rFonts w:eastAsia="Calibri" w:cs="Tahoma" w:ascii="Tahoma" w:hAnsi="Tahoma" w:eastAsiaTheme="minorHAnsi"/>
                <w:sz w:val="18"/>
                <w:szCs w:val="18"/>
                <w:lang w:val="es-BO"/>
              </w:rPr>
              <w:t xml:space="preserve"> propuesto de acuerdo al siguiente detalle:</w:t>
            </w:r>
          </w:p>
          <w:p>
            <w:pPr>
              <w:pStyle w:val="Normal"/>
              <w:widowControl w:val="false"/>
              <w:numPr>
                <w:ilvl w:val="0"/>
                <w:numId w:val="104"/>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1</w:t>
            </w:r>
            <w:r>
              <w:rPr>
                <w:rFonts w:eastAsia="Arial" w:cs="Tahoma" w:ascii="Tahoma" w:hAnsi="Tahoma"/>
                <w:sz w:val="18"/>
                <w:szCs w:val="18"/>
              </w:rPr>
              <w:t xml:space="preserve"> Camioneta </w:t>
            </w:r>
            <w:r>
              <w:rPr>
                <w:rFonts w:eastAsia="Arial" w:cs="Tahoma" w:ascii="Tahoma" w:hAnsi="Tahoma"/>
                <w:b/>
                <w:bCs/>
                <w:sz w:val="18"/>
                <w:szCs w:val="18"/>
              </w:rPr>
              <w:t>adicional a las mínimas requeridas</w:t>
            </w:r>
            <w:r>
              <w:rPr>
                <w:rFonts w:eastAsia="Arial" w:cs="Tahoma" w:ascii="Tahoma" w:hAnsi="Tahoma"/>
                <w:sz w:val="18"/>
                <w:szCs w:val="18"/>
              </w:rPr>
              <w:t xml:space="preserve"> se le asignará </w:t>
            </w:r>
            <w:r>
              <w:rPr>
                <w:rFonts w:eastAsia="Arial" w:cs="Tahoma" w:ascii="Tahoma" w:hAnsi="Tahoma"/>
                <w:b/>
                <w:bCs/>
                <w:sz w:val="18"/>
                <w:szCs w:val="18"/>
              </w:rPr>
              <w:t>2 Puntos</w:t>
            </w:r>
            <w:r>
              <w:rPr>
                <w:rFonts w:eastAsia="Arial" w:cs="Tahoma" w:ascii="Tahoma" w:hAnsi="Tahoma"/>
                <w:sz w:val="18"/>
                <w:szCs w:val="18"/>
              </w:rPr>
              <w:t>.</w:t>
            </w:r>
          </w:p>
          <w:p>
            <w:pPr>
              <w:pStyle w:val="Normal"/>
              <w:widowControl w:val="false"/>
              <w:numPr>
                <w:ilvl w:val="0"/>
                <w:numId w:val="104"/>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 xml:space="preserve">1 </w:t>
            </w:r>
            <w:r>
              <w:rPr>
                <w:rFonts w:eastAsia="Arial" w:cs="Tahoma" w:ascii="Tahoma" w:hAnsi="Tahoma"/>
                <w:sz w:val="18"/>
                <w:szCs w:val="18"/>
              </w:rPr>
              <w:t xml:space="preserve">Volqueta o Camión </w:t>
            </w:r>
            <w:r>
              <w:rPr>
                <w:rFonts w:eastAsia="Arial" w:cs="Tahoma" w:ascii="Tahoma" w:hAnsi="Tahoma"/>
                <w:b/>
                <w:bCs/>
                <w:sz w:val="18"/>
                <w:szCs w:val="18"/>
              </w:rPr>
              <w:t>adicional a los mínimos requeridos</w:t>
            </w:r>
            <w:r>
              <w:rPr>
                <w:rFonts w:eastAsia="Arial" w:cs="Tahoma" w:ascii="Tahoma" w:hAnsi="Tahoma"/>
                <w:sz w:val="18"/>
                <w:szCs w:val="18"/>
              </w:rPr>
              <w:t xml:space="preserve"> se le asignará </w:t>
            </w:r>
            <w:r>
              <w:rPr>
                <w:rFonts w:eastAsia="Arial" w:cs="Tahoma" w:ascii="Tahoma" w:hAnsi="Tahoma"/>
                <w:b/>
                <w:bCs/>
                <w:sz w:val="18"/>
                <w:szCs w:val="18"/>
              </w:rPr>
              <w:t>3 Puntos</w:t>
            </w:r>
            <w:r>
              <w:rPr>
                <w:rFonts w:eastAsia="Arial"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eastAsiaTheme="minorHAnsi" w:ascii="Tahoma" w:hAnsi="Tahoma"/>
                <w:b/>
                <w:bCs/>
                <w:sz w:val="16"/>
                <w:szCs w:val="16"/>
                <w:lang w:val="es-BO"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eastAsiaTheme="minorHAnsi" w:ascii="Tahoma" w:hAnsi="Tahoma"/>
                <w:b/>
                <w:sz w:val="24"/>
                <w:szCs w:val="24"/>
                <w:lang w:val="es-BO"/>
              </w:rPr>
            </w:r>
          </w:p>
        </w:tc>
      </w:tr>
    </w:tbl>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La suma de los puntajes asignados para las condiciones adicionales solicitadas deberá ser 35 puntos.</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 El proponente podrá ofertar condiciones adicionales superiores a las solicitadas en el presente Formulario, que mejoren la calidad del </w:t>
      </w:r>
      <w:r>
        <w:rPr>
          <w:rFonts w:eastAsia="Calibri" w:cs="Tahoma" w:ascii="Tahoma" w:hAnsi="Tahoma" w:eastAsiaTheme="minorHAnsi"/>
          <w:color w:val="0000FF"/>
          <w:sz w:val="18"/>
          <w:szCs w:val="18"/>
          <w:lang w:val="es-BO"/>
        </w:rPr>
        <w:t>objeto de contratación</w:t>
      </w:r>
      <w:r>
        <w:rPr>
          <w:rFonts w:eastAsia="Calibri" w:cs="Tahoma" w:ascii="Tahoma" w:hAnsi="Tahoma" w:eastAsiaTheme="minorHAnsi"/>
          <w:sz w:val="18"/>
          <w:szCs w:val="18"/>
          <w:lang w:val="es-BO"/>
        </w:rPr>
        <w:t>, siempre que estas características fuesen beneficiosas para la entidad y/o no afecten para el fin que fue requerido el servicio.</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b/>
          <w:b/>
          <w:color w:val="000000"/>
          <w:sz w:val="18"/>
          <w:szCs w:val="18"/>
          <w:lang w:val="es-BO"/>
        </w:rPr>
      </w:pPr>
      <w:r>
        <w:rPr>
          <w:rFonts w:eastAsia="Calibri" w:cs="Tahoma" w:ascii="Tahoma" w:hAnsi="Tahoma" w:eastAsiaTheme="minorHAnsi"/>
          <w:b/>
          <w:color w:val="000000"/>
          <w:sz w:val="18"/>
          <w:szCs w:val="18"/>
          <w:lang w:val="es-BO"/>
        </w:rPr>
        <w:t xml:space="preserve">NOTA: </w:t>
      </w:r>
    </w:p>
    <w:p>
      <w:pPr>
        <w:pStyle w:val="Normal"/>
        <w:numPr>
          <w:ilvl w:val="0"/>
          <w:numId w:val="32"/>
        </w:numPr>
        <w:spacing w:lineRule="auto" w:line="259" w:before="0" w:after="160"/>
        <w:jc w:val="both"/>
        <w:rPr>
          <w:rFonts w:ascii="Tahoma" w:hAnsi="Tahoma" w:eastAsia="Calibri" w:cs="Tahoma" w:eastAsiaTheme="minorHAnsi"/>
          <w:color w:val="000000"/>
          <w:sz w:val="18"/>
          <w:szCs w:val="18"/>
          <w:lang w:val="es-BO"/>
        </w:rPr>
      </w:pPr>
      <w:r>
        <w:rPr>
          <w:rFonts w:eastAsia="Calibri" w:cs="Tahoma" w:ascii="Tahoma" w:hAnsi="Tahoma" w:eastAsiaTheme="minorHAnsi"/>
          <w:color w:val="000000"/>
          <w:sz w:val="18"/>
          <w:szCs w:val="18"/>
          <w:lang w:val="es-BO"/>
        </w:rPr>
        <w:t>El proponente que oferte “vehículos” adicionales, deberá adjuntar documento de respaldo en fotocopia simple legible del RUAT, para propios o alquilados. En caso de adjudicación debe presentar:</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numPr>
          <w:ilvl w:val="0"/>
          <w:numId w:val="32"/>
        </w:numPr>
        <w:spacing w:lineRule="auto" w:line="259" w:before="0" w:after="160"/>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67104932"/>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3631550"/>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27254734"/>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92325421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8">
    <w:lvl w:ilvl="0">
      <w:start w:val="1"/>
      <w:numFmt w:val="decimal"/>
      <w:lvlText w:val="%1."/>
      <w:lvlJc w:val="left"/>
      <w:pPr>
        <w:tabs>
          <w:tab w:val="num" w:pos="786"/>
        </w:tabs>
        <w:ind w:left="786" w:hanging="360"/>
      </w:pPr>
      <w:rPr/>
    </w:lvl>
    <w:lvl w:ilvl="1">
      <w:start w:val="1"/>
      <w:numFmt w:val="decimal"/>
      <w:lvlText w:val="%2."/>
      <w:lvlJc w:val="left"/>
      <w:pPr>
        <w:tabs>
          <w:tab w:val="num" w:pos="1146"/>
        </w:tabs>
        <w:ind w:left="1146" w:hanging="360"/>
      </w:pPr>
      <w:rPr/>
    </w:lvl>
    <w:lvl w:ilvl="2">
      <w:start w:val="1"/>
      <w:numFmt w:val="decimal"/>
      <w:lvlText w:val="%3."/>
      <w:lvlJc w:val="left"/>
      <w:pPr>
        <w:tabs>
          <w:tab w:val="num" w:pos="1506"/>
        </w:tabs>
        <w:ind w:left="1506" w:hanging="360"/>
      </w:pPr>
      <w:rPr/>
    </w:lvl>
    <w:lvl w:ilvl="3">
      <w:start w:val="1"/>
      <w:numFmt w:val="decimal"/>
      <w:lvlText w:val="%4."/>
      <w:lvlJc w:val="left"/>
      <w:pPr>
        <w:tabs>
          <w:tab w:val="num" w:pos="1866"/>
        </w:tabs>
        <w:ind w:left="1866" w:hanging="360"/>
      </w:pPr>
      <w:rPr/>
    </w:lvl>
    <w:lvl w:ilvl="4">
      <w:start w:val="1"/>
      <w:numFmt w:val="decimal"/>
      <w:lvlText w:val="%5."/>
      <w:lvlJc w:val="left"/>
      <w:pPr>
        <w:tabs>
          <w:tab w:val="num" w:pos="2226"/>
        </w:tabs>
        <w:ind w:left="2226" w:hanging="360"/>
      </w:pPr>
      <w:rPr/>
    </w:lvl>
    <w:lvl w:ilvl="5">
      <w:start w:val="1"/>
      <w:numFmt w:val="decimal"/>
      <w:lvlText w:val="%6."/>
      <w:lvlJc w:val="left"/>
      <w:pPr>
        <w:tabs>
          <w:tab w:val="num" w:pos="2586"/>
        </w:tabs>
        <w:ind w:left="2586" w:hanging="360"/>
      </w:pPr>
      <w:rPr/>
    </w:lvl>
    <w:lvl w:ilvl="6">
      <w:start w:val="1"/>
      <w:numFmt w:val="decimal"/>
      <w:lvlText w:val="%7."/>
      <w:lvlJc w:val="left"/>
      <w:pPr>
        <w:tabs>
          <w:tab w:val="num" w:pos="2946"/>
        </w:tabs>
        <w:ind w:left="2946" w:hanging="360"/>
      </w:pPr>
      <w:rPr/>
    </w:lvl>
    <w:lvl w:ilvl="7">
      <w:start w:val="1"/>
      <w:numFmt w:val="decimal"/>
      <w:lvlText w:val="%8."/>
      <w:lvlJc w:val="left"/>
      <w:pPr>
        <w:tabs>
          <w:tab w:val="num" w:pos="3306"/>
        </w:tabs>
        <w:ind w:left="3306" w:hanging="360"/>
      </w:pPr>
      <w:rPr/>
    </w:lvl>
    <w:lvl w:ilvl="8">
      <w:start w:val="1"/>
      <w:numFmt w:val="decimal"/>
      <w:lvlText w:val="%9."/>
      <w:lvlJc w:val="left"/>
      <w:pPr>
        <w:tabs>
          <w:tab w:val="num" w:pos="3666"/>
        </w:tabs>
        <w:ind w:left="3666" w:hanging="360"/>
      </w:pPr>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1"/>
    <w:lvlOverride w:ilvl="0">
      <w:startOverride w:val="1"/>
    </w:lvlOverride>
  </w:num>
  <w:num w:numId="111">
    <w:abstractNumId w:val="73"/>
    <w:lvlOverride w:ilvl="0">
      <w:startOverride w:val="1"/>
    </w:lvlOverride>
  </w:num>
  <w:num w:numId="112">
    <w:abstractNumId w:val="84"/>
    <w:lvlOverride w:ilvl="0"/>
    <w:lvlOverride w:ilvl="1">
      <w:startOverride w:val="1"/>
    </w:lvlOverride>
  </w:num>
  <w:num w:numId="113">
    <w:abstractNumId w:val="88"/>
    <w:lvlOverride w:ilvl="0">
      <w:startOverride w:val="1"/>
    </w:lvlOverride>
  </w:num>
  <w:num w:numId="114">
    <w:abstractNumId w:val="93"/>
    <w:lvlOverride w:ilvl="0">
      <w:startOverride w:val="1"/>
    </w:lvlOverride>
  </w:num>
  <w:num w:numId="115">
    <w:abstractNumId w:val="96"/>
    <w:lvlOverride w:ilvl="0">
      <w:startOverride w:val="1"/>
    </w:lvlOverride>
  </w:num>
  <w:num w:numId="116">
    <w:abstractNumId w:val="97"/>
    <w:lvlOverride w:ilvl="0">
      <w:startOverride w:val="1"/>
    </w:lvlOverride>
  </w:num>
  <w:num w:numId="117">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14A9A"/>
    <w:rsid w:val="00223A46"/>
    <w:rsid w:val="002953C8"/>
    <w:rsid w:val="003216C4"/>
    <w:rsid w:val="00340DE7"/>
    <w:rsid w:val="00384DA1"/>
    <w:rsid w:val="00387787"/>
    <w:rsid w:val="003938F0"/>
    <w:rsid w:val="003D3C18"/>
    <w:rsid w:val="003E0DE8"/>
    <w:rsid w:val="003E58CF"/>
    <w:rsid w:val="00450D7E"/>
    <w:rsid w:val="0047078B"/>
    <w:rsid w:val="004818A4"/>
    <w:rsid w:val="004D3453"/>
    <w:rsid w:val="00583729"/>
    <w:rsid w:val="005C29EB"/>
    <w:rsid w:val="005F51BF"/>
    <w:rsid w:val="00667B1B"/>
    <w:rsid w:val="006A4A01"/>
    <w:rsid w:val="006D64D5"/>
    <w:rsid w:val="006E1D68"/>
    <w:rsid w:val="00723F6B"/>
    <w:rsid w:val="00803DA0"/>
    <w:rsid w:val="00813E62"/>
    <w:rsid w:val="008911B1"/>
    <w:rsid w:val="008F48C5"/>
    <w:rsid w:val="00906EF0"/>
    <w:rsid w:val="00947093"/>
    <w:rsid w:val="009706D1"/>
    <w:rsid w:val="00A2615B"/>
    <w:rsid w:val="00A264BB"/>
    <w:rsid w:val="00AF282B"/>
    <w:rsid w:val="00BA7A94"/>
    <w:rsid w:val="00BF26A2"/>
    <w:rsid w:val="00C10D47"/>
    <w:rsid w:val="00C35A68"/>
    <w:rsid w:val="00C724F8"/>
    <w:rsid w:val="00C81DA5"/>
    <w:rsid w:val="00CB6515"/>
    <w:rsid w:val="00CD52F4"/>
    <w:rsid w:val="00CF0895"/>
    <w:rsid w:val="00CF0A2E"/>
    <w:rsid w:val="00CF3C24"/>
    <w:rsid w:val="00D3765D"/>
    <w:rsid w:val="00D9533C"/>
    <w:rsid w:val="00DB72F0"/>
    <w:rsid w:val="00DD08BA"/>
    <w:rsid w:val="00E14322"/>
    <w:rsid w:val="00E543B4"/>
    <w:rsid w:val="00E54503"/>
    <w:rsid w:val="00E55D99"/>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Application>LibreOffice/7.3.7.2$Linux_X86_64 LibreOffice_project/30$Build-2</Application>
  <AppVersion>15.0000</AppVersion>
  <Pages>177</Pages>
  <Words>80877</Words>
  <Characters>439625</Characters>
  <CharactersWithSpaces>515916</CharactersWithSpaces>
  <Paragraphs>5873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2025-05-14T15:51:00Z</dcterms:created>
  <dc:creator>DNGP UGP</dc:creator>
  <dc:description/>
  <dc:language>es-BO</dc:language>
  <cp:lastModifiedBy/>
  <cp:lastPrinted>2025-06-06T17:48:00Z</cp:lastPrinted>
  <dcterms:modified xsi:type="dcterms:W3CDTF">2025-06-09T17:12:41Z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